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ISMS Policy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States top management's direction and commitment for information security, provides the framework for setting objectives and commits to satisfying requirements and continual improvement.</w:t>
      </w:r>
    </w:p>
    <w:p>
      <w:pPr>
        <w:pStyle w:val="Heading1"/>
      </w:pPr>
      <w:r>
        <w:t>2. Scope</w:t>
      </w:r>
    </w:p>
    <w:p>
      <w:r>
        <w:t>Applies to all employees, contractors and third parties who access [Organisation Name] information or systems within the ISMS scope.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CEO / Top Management</w:t>
            </w:r>
          </w:p>
        </w:tc>
        <w:tc>
          <w:tcPr>
            <w:tcW w:type="dxa" w:w="4873"/>
          </w:tcPr>
          <w:p>
            <w:r>
              <w:t>Owns and signs the policy, provides resources.</w:t>
            </w:r>
          </w:p>
        </w:tc>
      </w:tr>
      <w:tr>
        <w:tc>
          <w:tcPr>
            <w:tcW w:type="dxa" w:w="4873"/>
          </w:tcPr>
          <w:p>
            <w:r>
              <w:t>ISMS Manager / Security Lead</w:t>
            </w:r>
          </w:p>
        </w:tc>
        <w:tc>
          <w:tcPr>
            <w:tcW w:type="dxa" w:w="4873"/>
          </w:tcPr>
          <w:p>
            <w:r>
              <w:t>Maintains the ISMS, reports performance to management.</w:t>
            </w:r>
          </w:p>
        </w:tc>
      </w:tr>
      <w:tr>
        <w:tc>
          <w:tcPr>
            <w:tcW w:type="dxa" w:w="4873"/>
          </w:tcPr>
          <w:p>
            <w:r>
              <w:t>All personnel</w:t>
            </w:r>
          </w:p>
        </w:tc>
        <w:tc>
          <w:tcPr>
            <w:tcW w:type="dxa" w:w="4873"/>
          </w:tcPr>
          <w:p>
            <w:r>
              <w:t>Comply with this policy and supporting policies, report incidents and weaknesses.</w:t>
            </w:r>
          </w:p>
        </w:tc>
      </w:tr>
    </w:tbl>
    <w:p/>
    <w:p>
      <w:pPr>
        <w:pStyle w:val="Heading1"/>
      </w:pPr>
      <w:r>
        <w:t>4. Policy statements</w:t>
      </w:r>
    </w:p>
    <w:p>
      <w:pPr>
        <w:pStyle w:val="ListBullet"/>
      </w:pPr>
      <w:r>
        <w:t>[Organisation Name] protects the confidentiality, integrity and availability of information belonging to the organisation, its customers and partners.</w:t>
      </w:r>
    </w:p>
    <w:p>
      <w:pPr>
        <w:pStyle w:val="ListBullet"/>
      </w:pPr>
      <w:r>
        <w:t>Information security objectives are set annually, are measurable and are consistent with this policy (see Security Objectives Plan).</w:t>
      </w:r>
    </w:p>
    <w:p>
      <w:pPr>
        <w:pStyle w:val="ListBullet"/>
      </w:pPr>
      <w:r>
        <w:t>The organisation commits to satisfy applicable legal, regulatory and contractual requirements, including [SOC 2 commitments, HIPAA, GDPR].</w:t>
      </w:r>
    </w:p>
    <w:p>
      <w:pPr>
        <w:pStyle w:val="ListBullet"/>
      </w:pPr>
      <w:r>
        <w:t>The organisation commits to continual improvement of the ISMS.</w:t>
      </w:r>
    </w:p>
    <w:p>
      <w:pPr>
        <w:pStyle w:val="ListBullet"/>
      </w:pPr>
      <w:r>
        <w:t>Risks are assessed and treated in line with the Risk Assessment and Treatment Methodology and the agreed risk appetite.</w:t>
      </w:r>
    </w:p>
    <w:p>
      <w:pPr>
        <w:pStyle w:val="ListBullet"/>
      </w:pPr>
      <w:r>
        <w:t>Topic-specific policies (access control, cryptography, supplier security, incident management and others) support this policy and are mandatory.</w:t>
      </w:r>
    </w:p>
    <w:p>
      <w:pPr>
        <w:pStyle w:val="ListBullet"/>
      </w:pPr>
      <w:r>
        <w:t>Violations of this policy may result in disciplinary action up to and including termination of employment or contract.</w:t>
      </w:r>
    </w:p>
    <w:p>
      <w:pPr>
        <w:pStyle w:val="Heading1"/>
      </w:pPr>
      <w:r>
        <w:t>5. Communication and availability</w:t>
      </w:r>
    </w:p>
    <w:p>
      <w:pPr>
        <w:pStyle w:val="ListBullet"/>
      </w:pPr>
      <w:r>
        <w:t>This policy is published on [intranet / policy portal], communicated at onboarding and acknowledged annually by all personnel.</w:t>
      </w:r>
    </w:p>
    <w:p>
      <w:pPr>
        <w:pStyle w:val="ListBullet"/>
      </w:pPr>
      <w:r>
        <w:t>The policy is made available to interested parties on request.</w:t>
      </w:r>
    </w:p>
    <w:p>
      <w:pPr>
        <w:pStyle w:val="Heading1"/>
      </w:pPr>
      <w:r>
        <w:t>6. Frequency and timing</w:t>
      </w:r>
    </w:p>
    <w:p>
      <w:r>
        <w:t>Reviewed at least annually and after significant changes; approved by top management.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Signed and dated policy approved by top management</w:t>
      </w:r>
    </w:p>
    <w:p>
      <w:r>
        <w:t>☐  Evidence of communication (portal page, onboarding checklist, acknowledgement records)</w:t>
      </w:r>
    </w:p>
    <w:p>
      <w:r>
        <w:t>☐  Link between policy and documented objectives</w:t>
      </w:r>
    </w:p>
    <w:p>
      <w:r>
        <w:t>☐  Revision history showing annual review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Clause 5.2, A.5.1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CC1.1, CC2.2, CC5.3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164.316(a)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24(2)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