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Lead Supervisory Authority Determination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Determines the lead supervisory authority under the one-stop-shop mechanism.</w:t>
      </w:r>
    </w:p>
    <w:p>
      <w:pPr>
        <w:pStyle w:val="Heading1"/>
      </w:pPr>
      <w:r>
        <w:t>2. Scope</w:t>
      </w:r>
    </w:p>
    <w:p>
      <w:r>
        <w:t>Cross-border processing in the EU.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Owns the record and advises.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legal positions.</w:t>
            </w:r>
          </w:p>
        </w:tc>
      </w:tr>
    </w:tbl>
    <w:p/>
    <w:p>
      <w:pPr>
        <w:pStyle w:val="Heading1"/>
      </w:pPr>
      <w:r>
        <w:t>4. Assessment</w:t>
      </w:r>
    </w:p>
    <w:p>
      <w:pPr>
        <w:pStyle w:val="ListBullet"/>
      </w:pPr>
      <w:r>
        <w:t>Identify the main establishment in the EU (place of central administration or where decisions on processing are made).</w:t>
      </w:r>
    </w:p>
    <w:p>
      <w:pPr>
        <w:pStyle w:val="ListBullet"/>
      </w:pPr>
      <w:r>
        <w:t>Lead authority: [authority].</w:t>
      </w:r>
    </w:p>
    <w:p>
      <w:pPr>
        <w:pStyle w:val="ListBullet"/>
      </w:pPr>
      <w:r>
        <w:t>If no EU establishment: no one-stop-shop; appoint an EU representative (Art. 27).</w:t>
      </w:r>
    </w:p>
    <w:p>
      <w:pPr>
        <w:pStyle w:val="ListBullet"/>
      </w:pPr>
      <w:r>
        <w:t>Approved by: ____ Date: ____</w:t>
      </w:r>
    </w:p>
    <w:p>
      <w:pPr>
        <w:pStyle w:val="Heading1"/>
      </w:pPr>
      <w:r>
        <w:t>5. Frequency and timing</w:t>
      </w:r>
    </w:p>
    <w:p>
      <w:r>
        <w:t>On organisational change.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Documented determination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4(16), 56</w:t>
            </w:r>
          </w:p>
        </w:tc>
      </w:tr>
    </w:tbl>
    <w:p/>
    <w:p>
      <w:pPr>
        <w:pStyle w:val="Heading1"/>
      </w:pPr>
      <w:r>
        <w:t>8.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Lead Supervisory Authority Determination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