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Physical Security Policy</w:t>
      </w:r>
    </w:p>
    <w:p>
      <w:r>
        <w:rPr>
          <w:i/>
        </w:rPr>
        <w:t>[Organisation Name]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[x.x]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Prevents unauthorised physical access to, damage of, and interference with information and facilities.</w:t>
      </w:r>
    </w:p>
    <w:p>
      <w:pPr>
        <w:pStyle w:val="Heading1"/>
      </w:pPr>
      <w:r>
        <w:t>2. Scope</w:t>
      </w:r>
    </w:p>
    <w:p>
      <w:r>
        <w:t>Offices, server rooms and any physical locations in scope. Data centre controls are inherited from cloud providers.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Facilities / Office Manager</w:t>
            </w:r>
          </w:p>
        </w:tc>
        <w:tc>
          <w:tcPr>
            <w:tcW w:type="dxa" w:w="4873"/>
          </w:tcPr>
          <w:p>
            <w:r>
              <w:t>Manages access systems and visitors.</w:t>
            </w:r>
          </w:p>
        </w:tc>
      </w:tr>
      <w:tr>
        <w:tc>
          <w:tcPr>
            <w:tcW w:type="dxa" w:w="4873"/>
          </w:tcPr>
          <w:p>
            <w:r>
              <w:t>Security Lead</w:t>
            </w:r>
          </w:p>
        </w:tc>
        <w:tc>
          <w:tcPr>
            <w:tcW w:type="dxa" w:w="4873"/>
          </w:tcPr>
          <w:p>
            <w:r>
              <w:t>Owns the policy.</w:t>
            </w:r>
          </w:p>
        </w:tc>
      </w:tr>
      <w:tr>
        <w:tc>
          <w:tcPr>
            <w:tcW w:type="dxa" w:w="4873"/>
          </w:tcPr>
          <w:p>
            <w:r>
              <w:t>All personnel</w:t>
            </w:r>
          </w:p>
        </w:tc>
        <w:tc>
          <w:tcPr>
            <w:tcW w:type="dxa" w:w="4873"/>
          </w:tcPr>
          <w:p>
            <w:r>
              <w:t>Wear badges, escort visitors, report concerns.</w:t>
            </w:r>
          </w:p>
        </w:tc>
      </w:tr>
    </w:tbl>
    <w:p/>
    <w:p>
      <w:pPr>
        <w:pStyle w:val="Heading1"/>
      </w:pPr>
      <w:r>
        <w:t>4. Requirements</w:t>
      </w:r>
    </w:p>
    <w:p>
      <w:pPr>
        <w:pStyle w:val="ListBullet"/>
      </w:pPr>
      <w:r>
        <w:t>Office entry is controlled by badge, key or reception; access is granted on need and removed at termination.</w:t>
      </w:r>
    </w:p>
    <w:p>
      <w:pPr>
        <w:pStyle w:val="ListBullet"/>
      </w:pPr>
      <w:r>
        <w:t>Visitors sign in, are escorted and sign out; the visitor log is retained for [1 year].</w:t>
      </w:r>
    </w:p>
    <w:p>
      <w:pPr>
        <w:pStyle w:val="ListBullet"/>
      </w:pPr>
      <w:r>
        <w:t>Server rooms or network cabinets are locked with access limited to authorised staff.</w:t>
      </w:r>
    </w:p>
    <w:p>
      <w:pPr>
        <w:pStyle w:val="ListBullet"/>
      </w:pPr>
      <w:r>
        <w:t>Clear desk and clear screen: confidential papers are locked away and screens locked when unattended.</w:t>
      </w:r>
    </w:p>
    <w:p>
      <w:pPr>
        <w:pStyle w:val="ListBullet"/>
      </w:pPr>
      <w:r>
        <w:t>Equipment taken off-site is protected and not left unattended in public places.</w:t>
      </w:r>
    </w:p>
    <w:p>
      <w:pPr>
        <w:pStyle w:val="ListBullet"/>
      </w:pPr>
      <w:r>
        <w:t>Physical access lists are reviewed at least [annually].</w:t>
      </w:r>
    </w:p>
    <w:p>
      <w:pPr>
        <w:pStyle w:val="ListBullet"/>
      </w:pPr>
      <w:r>
        <w:t>Physical data centre security for hosted services is provided by the cloud provider and verified through their SOC 2 / ISO 27001 reports.</w:t>
      </w:r>
    </w:p>
    <w:p>
      <w:pPr>
        <w:pStyle w:val="Heading1"/>
      </w:pPr>
      <w:r>
        <w:t>5. Exceptions and enforcement</w:t>
      </w:r>
    </w:p>
    <w:p>
      <w:pPr>
        <w:pStyle w:val="ListBullet"/>
      </w:pPr>
      <w:r>
        <w:t>Exceptions require a documented business justification, a risk assessment and approval by the Security Lead; approved exceptions are recorded in the exception register with an expiry date.</w:t>
      </w:r>
    </w:p>
    <w:p>
      <w:pPr>
        <w:pStyle w:val="ListBullet"/>
      </w:pPr>
      <w:r>
        <w:t>Violations may result in disciplinary action up to and including termination of employment or contract, and may be reported to authorities where required by law.</w:t>
      </w:r>
    </w:p>
    <w:p>
      <w:pPr>
        <w:pStyle w:val="Heading1"/>
      </w:pPr>
      <w:r>
        <w:t>6. Frequency and timing</w:t>
      </w:r>
    </w:p>
    <w:p>
      <w:r>
        <w:t>Reviewed annually.</w:t>
      </w:r>
    </w:p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Badge access list and review</w:t>
      </w:r>
    </w:p>
    <w:p>
      <w:r>
        <w:t>☐  Visitor log</w:t>
      </w:r>
    </w:p>
    <w:p>
      <w:r>
        <w:t>☐  Cloud provider SOC 2 report review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CC6.4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A.7.1 to A.7.9</w:t>
            </w:r>
          </w:p>
        </w:tc>
      </w:tr>
      <w:tr>
        <w:tc>
          <w:tcPr>
            <w:tcW w:type="dxa" w:w="4873"/>
          </w:tcPr>
          <w:p>
            <w:r>
              <w:t>HIPAA</w:t>
            </w:r>
          </w:p>
        </w:tc>
        <w:tc>
          <w:tcPr>
            <w:tcW w:type="dxa" w:w="4873"/>
          </w:tcPr>
          <w:p>
            <w:r>
              <w:t>164.310(a), (b), (c)</w:t>
            </w:r>
          </w:p>
        </w:tc>
      </w:tr>
    </w:tbl>
    <w:p/>
    <w:p>
      <w:pPr>
        <w:pStyle w:val="Heading1"/>
      </w:pPr>
      <w:r>
        <w:t>9. 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t>Prepared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[YYYY-MM-DD]</w:t>
            </w:r>
          </w:p>
        </w:tc>
        <w:tc>
          <w:tcPr>
            <w:tcW w:type="dxa" w:w="2436"/>
          </w:tcPr>
          <w:p>
            <w:r>
              <w:t>[Role]</w:t>
            </w:r>
          </w:p>
        </w:tc>
        <w:tc>
          <w:tcPr>
            <w:tcW w:type="dxa" w:w="2436"/>
          </w:tcPr>
          <w:p>
            <w:r>
              <w:t>Initial 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Physical Security Policy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