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Privacy Compliance Policy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Defines the privacy programme structure, roles, monitoring and how privacy requirements across jurisdictions are met.</w:t>
      </w:r>
    </w:p>
    <w:p>
      <w:pPr>
        <w:pStyle w:val="Heading1"/>
      </w:pPr>
      <w:r>
        <w:t>2. Scope</w:t>
      </w:r>
    </w:p>
    <w:p>
      <w:r>
        <w:t>All personal data processing across all jurisdictions in scope.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Privacy Officer / DPO</w:t>
            </w:r>
          </w:p>
        </w:tc>
        <w:tc>
          <w:tcPr>
            <w:tcW w:type="dxa" w:w="4873"/>
          </w:tcPr>
          <w:p>
            <w:r>
              <w:t>Leads the programme.</w:t>
            </w:r>
          </w:p>
        </w:tc>
      </w:tr>
      <w:tr>
        <w:tc>
          <w:tcPr>
            <w:tcW w:type="dxa" w:w="4873"/>
          </w:tcPr>
          <w:p>
            <w:r>
              <w:t>Privacy Champions</w:t>
            </w:r>
          </w:p>
        </w:tc>
        <w:tc>
          <w:tcPr>
            <w:tcW w:type="dxa" w:w="4873"/>
          </w:tcPr>
          <w:p>
            <w:r>
              <w:t>Support each department.</w:t>
            </w:r>
          </w:p>
        </w:tc>
      </w:tr>
      <w:tr>
        <w:tc>
          <w:tcPr>
            <w:tcW w:type="dxa" w:w="4873"/>
          </w:tcPr>
          <w:p>
            <w:r>
              <w:t>Leadership</w:t>
            </w:r>
          </w:p>
        </w:tc>
        <w:tc>
          <w:tcPr>
            <w:tcW w:type="dxa" w:w="4873"/>
          </w:tcPr>
          <w:p>
            <w:r>
              <w:t>Resources the programme.</w:t>
            </w:r>
          </w:p>
        </w:tc>
      </w:tr>
    </w:tbl>
    <w:p/>
    <w:p>
      <w:pPr>
        <w:pStyle w:val="Heading1"/>
      </w:pPr>
      <w:r>
        <w:t>4. Programme elements</w:t>
      </w:r>
    </w:p>
    <w:p>
      <w:pPr>
        <w:pStyle w:val="ListBullet"/>
      </w:pPr>
      <w:r>
        <w:t>Governance: Privacy Officer designated; DPO appointed where required by Art. 37.</w:t>
      </w:r>
    </w:p>
    <w:p>
      <w:pPr>
        <w:pStyle w:val="ListBullet"/>
      </w:pPr>
      <w:r>
        <w:t>Inventory: data inventory and ROPA maintained.</w:t>
      </w:r>
    </w:p>
    <w:p>
      <w:pPr>
        <w:pStyle w:val="ListBullet"/>
      </w:pPr>
      <w:r>
        <w:t>Assessments: DPIAs and privacy reviews for new processing.</w:t>
      </w:r>
    </w:p>
    <w:p>
      <w:pPr>
        <w:pStyle w:val="ListBullet"/>
      </w:pPr>
      <w:r>
        <w:t>Rights: DSAR procedure and log.</w:t>
      </w:r>
    </w:p>
    <w:p>
      <w:pPr>
        <w:pStyle w:val="ListBullet"/>
      </w:pPr>
      <w:r>
        <w:t>Vendors: privacy terms and sub-processor management.</w:t>
      </w:r>
    </w:p>
    <w:p>
      <w:pPr>
        <w:pStyle w:val="ListBullet"/>
      </w:pPr>
      <w:r>
        <w:t>Training: privacy training at hire and annually.</w:t>
      </w:r>
    </w:p>
    <w:p>
      <w:pPr>
        <w:pStyle w:val="ListBullet"/>
      </w:pPr>
      <w:r>
        <w:t>Monitoring: annual privacy compliance review reported to leadership.</w:t>
      </w:r>
    </w:p>
    <w:p>
      <w:pPr>
        <w:pStyle w:val="ListBullet"/>
      </w:pPr>
      <w:r>
        <w:t>Incidents: breach handling and register.</w:t>
      </w:r>
    </w:p>
    <w:p>
      <w:pPr>
        <w:pStyle w:val="Heading1"/>
      </w:pPr>
      <w:r>
        <w:t>5. Exceptions and enforcement</w:t>
      </w:r>
    </w:p>
    <w:p>
      <w:pPr>
        <w:pStyle w:val="ListBullet"/>
      </w:pPr>
      <w:r>
        <w:t>Exceptions require a documented business justification, a risk assessment and approval by the Security Lead; approved exceptions are recorded in the exception register with an expiry date.</w:t>
      </w:r>
    </w:p>
    <w:p>
      <w:pPr>
        <w:pStyle w:val="ListBullet"/>
      </w:pPr>
      <w:r>
        <w:t>Violations may result in disciplinary action up to and including termination of employment or contract, and may be reported to authorities where required by law.</w:t>
      </w:r>
    </w:p>
    <w:p>
      <w:pPr>
        <w:pStyle w:val="Heading1"/>
      </w:pPr>
      <w:r>
        <w:t>6. Frequency and timing</w:t>
      </w:r>
    </w:p>
    <w:p>
      <w:r>
        <w:t>Programme reviewed annually.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Programme documents</w:t>
      </w:r>
    </w:p>
    <w:p>
      <w:r>
        <w:t>☐  Annual compliance review report</w:t>
      </w:r>
    </w:p>
    <w:p>
      <w:r>
        <w:t>☐  Training records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5(2), 24, 37 to 39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P1 to P8</w:t>
            </w:r>
          </w:p>
        </w:tc>
      </w:tr>
    </w:tbl>
    <w:p/>
    <w:p>
      <w:pPr>
        <w:pStyle w:val="Heading1"/>
      </w:pPr>
      <w:r>
        <w:t>9.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Privacy Compliance Policy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