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Risk Management Policy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Establishes how information security and privacy risks are identified, assessed, treated, accepted and monitored.</w:t>
      </w:r>
    </w:p>
    <w:p>
      <w:pPr>
        <w:pStyle w:val="Heading1"/>
      </w:pPr>
      <w:r>
        <w:t>2. Scope</w:t>
      </w:r>
    </w:p>
    <w:p>
      <w:r>
        <w:t>All business processes, systems, suppliers and data in scope.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Top Management</w:t>
            </w:r>
          </w:p>
        </w:tc>
        <w:tc>
          <w:tcPr>
            <w:tcW w:type="dxa" w:w="4873"/>
          </w:tcPr>
          <w:p>
            <w:r>
              <w:t>Sets risk appetite and approves high risk acceptance.</w:t>
            </w:r>
          </w:p>
        </w:tc>
      </w:tr>
      <w:tr>
        <w:tc>
          <w:tcPr>
            <w:tcW w:type="dxa" w:w="4873"/>
          </w:tcPr>
          <w:p>
            <w:r>
              <w:t>Risk Owners</w:t>
            </w:r>
          </w:p>
        </w:tc>
        <w:tc>
          <w:tcPr>
            <w:tcW w:type="dxa" w:w="4873"/>
          </w:tcPr>
          <w:p>
            <w:r>
              <w:t>Own and treat risks.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Runs the risk process and reports.</w:t>
            </w:r>
          </w:p>
        </w:tc>
      </w:tr>
    </w:tbl>
    <w:p/>
    <w:p>
      <w:pPr>
        <w:pStyle w:val="Heading1"/>
      </w:pPr>
      <w:r>
        <w:t>4. Policy requirements</w:t>
      </w:r>
    </w:p>
    <w:p>
      <w:pPr>
        <w:pStyle w:val="ListBullet"/>
      </w:pPr>
      <w:r>
        <w:t>A formal risk assessment is performed at least annually and on significant change, using the Risk Assessment and Treatment Methodology.</w:t>
      </w:r>
    </w:p>
    <w:p>
      <w:pPr>
        <w:pStyle w:val="ListBullet"/>
      </w:pPr>
      <w:r>
        <w:t>Risks are recorded in a risk register with owner, score and treatment.</w:t>
      </w:r>
    </w:p>
    <w:p>
      <w:pPr>
        <w:pStyle w:val="ListBullet"/>
      </w:pPr>
      <w:r>
        <w:t>Risk appetite: the organisation does not accept High residual risks without top management approval.</w:t>
      </w:r>
    </w:p>
    <w:p>
      <w:pPr>
        <w:pStyle w:val="ListBullet"/>
      </w:pPr>
      <w:r>
        <w:t>Fraud risk and third-party risk are included in the assessment.</w:t>
      </w:r>
    </w:p>
    <w:p>
      <w:pPr>
        <w:pStyle w:val="ListBullet"/>
      </w:pPr>
      <w:r>
        <w:t>Risk treatment plans are tracked to completion.</w:t>
      </w:r>
    </w:p>
    <w:p>
      <w:pPr>
        <w:pStyle w:val="ListBullet"/>
      </w:pPr>
      <w:r>
        <w:t>Risk status is reported at management review and to the board at least annually.</w:t>
      </w:r>
    </w:p>
    <w:p>
      <w:pPr>
        <w:pStyle w:val="Heading1"/>
      </w:pPr>
      <w:r>
        <w:t>5.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6. Frequency and timing</w:t>
      </w:r>
    </w:p>
    <w:p>
      <w:r>
        <w:t>Assessment annually; register reviewed quarterly.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Risk register</w:t>
      </w:r>
    </w:p>
    <w:p>
      <w:r>
        <w:t>☐  Treatment plan</w:t>
      </w:r>
    </w:p>
    <w:p>
      <w:r>
        <w:t>☐  Management review minutes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CC3.1 to CC3.4, CC9.1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Clauses 6.1, 8.2, 8.3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164.308(a)(1)(ii)(A), (B)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Management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