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Risk Assessment and Treatment Methodology</w:t>
      </w:r>
    </w:p>
    <w:p>
      <w:r>
        <w:rPr>
          <w:i/>
        </w:rPr>
        <w:t>[Organisation Name]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873"/>
          </w:tcPr>
          <w:p>
            <w:r>
              <w:t>[x.x]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Document owner</w:t>
            </w:r>
          </w:p>
        </w:tc>
        <w:tc>
          <w:tcPr>
            <w:tcW w:type="dxa" w:w="4873"/>
          </w:tcPr>
          <w:p>
            <w:r>
              <w:t>[Role]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Approver</w:t>
            </w:r>
          </w:p>
        </w:tc>
        <w:tc>
          <w:tcPr>
            <w:tcW w:type="dxa" w:w="4873"/>
          </w:tcPr>
          <w:p>
            <w:r>
              <w:t>[Role]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873"/>
          </w:tcPr>
          <w:p>
            <w:r>
              <w:t>[YYYY-MM-DD]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4873"/>
          </w:tcPr>
          <w:p>
            <w:r>
              <w:t>[YYYY-MM-DD]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873"/>
          </w:tcPr>
          <w:p>
            <w:r>
              <w:t>Internal</w:t>
            </w:r>
          </w:p>
        </w:tc>
      </w:tr>
    </w:tbl>
    <w:p/>
    <w:p>
      <w:pPr>
        <w:pStyle w:val="Heading1"/>
      </w:pPr>
      <w:r>
        <w:t>1. Purpose</w:t>
      </w:r>
    </w:p>
    <w:p>
      <w:r>
        <w:t>Defines a repeatable method for identifying, analysing, evaluating and treating information security risks so results are consistent, valid and comparable.</w:t>
      </w:r>
    </w:p>
    <w:p>
      <w:pPr>
        <w:pStyle w:val="Heading1"/>
      </w:pPr>
      <w:r>
        <w:t>2. Scope</w:t>
      </w:r>
    </w:p>
    <w:p>
      <w:r>
        <w:t>All information assets, processes, suppliers and services within the ISMS and SOC 2 scope, including risks to personal data and PHI.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873"/>
          </w:tcPr>
          <w:p>
            <w:r>
              <w:t>Risk Owner</w:t>
            </w:r>
          </w:p>
        </w:tc>
        <w:tc>
          <w:tcPr>
            <w:tcW w:type="dxa" w:w="4873"/>
          </w:tcPr>
          <w:p>
            <w:r>
              <w:t>Accountable for the risk and approves its treatment and residual risk.</w:t>
            </w:r>
          </w:p>
        </w:tc>
      </w:tr>
      <w:tr>
        <w:tc>
          <w:tcPr>
            <w:tcW w:type="dxa" w:w="4873"/>
          </w:tcPr>
          <w:p>
            <w:r>
              <w:t>Security Lead</w:t>
            </w:r>
          </w:p>
        </w:tc>
        <w:tc>
          <w:tcPr>
            <w:tcW w:type="dxa" w:w="4873"/>
          </w:tcPr>
          <w:p>
            <w:r>
              <w:t>Facilitates assessments, maintains the risk register.</w:t>
            </w:r>
          </w:p>
        </w:tc>
      </w:tr>
      <w:tr>
        <w:tc>
          <w:tcPr>
            <w:tcW w:type="dxa" w:w="4873"/>
          </w:tcPr>
          <w:p>
            <w:r>
              <w:t>Top Management</w:t>
            </w:r>
          </w:p>
        </w:tc>
        <w:tc>
          <w:tcPr>
            <w:tcW w:type="dxa" w:w="4873"/>
          </w:tcPr>
          <w:p>
            <w:r>
              <w:t>Sets risk appetite and approves acceptance of high risks.</w:t>
            </w:r>
          </w:p>
        </w:tc>
      </w:tr>
    </w:tbl>
    <w:p/>
    <w:p>
      <w:pPr>
        <w:pStyle w:val="Heading1"/>
      </w:pPr>
      <w:r>
        <w:t>4. Risk criteria</w:t>
      </w:r>
    </w:p>
    <w:p>
      <w:pPr>
        <w:pStyle w:val="ListBullet"/>
      </w:pPr>
      <w:r>
        <w:t>Likelihood scale (1 Rare to 5 Almost certain) with descriptions based on frequency.</w:t>
      </w:r>
    </w:p>
    <w:p>
      <w:pPr>
        <w:pStyle w:val="ListBullet"/>
      </w:pPr>
      <w:r>
        <w:t>Impact scale (1 Negligible to 5 Severe) covering financial, legal/regulatory, reputational, operational and individual (data subject / patient) harm.</w:t>
      </w:r>
    </w:p>
    <w:p>
      <w:pPr>
        <w:pStyle w:val="ListBullet"/>
      </w:pPr>
      <w:r>
        <w:t>Risk score = Likelihood x Impact. Low 1 to 6, Medium 8 to 12, High 15 to 25.</w:t>
      </w:r>
    </w:p>
    <w:p>
      <w:pPr>
        <w:pStyle w:val="ListBullet"/>
      </w:pPr>
      <w:r>
        <w:t>Risk acceptance criteria: Low may be accepted by the risk owner; Medium requires Security Lead approval; High requires top management approval and a treatment plan.</w:t>
      </w:r>
    </w:p>
    <w:p>
      <w:pPr>
        <w:pStyle w:val="Heading1"/>
      </w:pPr>
      <w:r>
        <w:t>5. Procedure</w:t>
      </w:r>
    </w:p>
    <w:p>
      <w:pPr>
        <w:ind w:left="340" w:hanging="340"/>
      </w:pPr>
      <w:r>
        <w:t>1. Identify assets and processes in scope and their owners.</w:t>
      </w:r>
    </w:p>
    <w:p>
      <w:pPr>
        <w:ind w:left="340" w:hanging="340"/>
      </w:pPr>
      <w:r>
        <w:t>2. Identify threats and vulnerabilities for each asset or process, including fraud risk and third-party risk.</w:t>
      </w:r>
    </w:p>
    <w:p>
      <w:pPr>
        <w:ind w:left="340" w:hanging="340"/>
      </w:pPr>
      <w:r>
        <w:t>3. Identify existing controls and assess likelihood and impact.</w:t>
      </w:r>
    </w:p>
    <w:p>
      <w:pPr>
        <w:ind w:left="340" w:hanging="340"/>
      </w:pPr>
      <w:r>
        <w:t>4. Calculate the inherent and residual risk score and compare against acceptance criteria.</w:t>
      </w:r>
    </w:p>
    <w:p>
      <w:pPr>
        <w:ind w:left="340" w:hanging="340"/>
      </w:pPr>
      <w:r>
        <w:t>5. Select a treatment option: modify (add controls), avoid, share (insurance, contract) or retain.</w:t>
      </w:r>
    </w:p>
    <w:p>
      <w:pPr>
        <w:ind w:left="340" w:hanging="340"/>
      </w:pPr>
      <w:r>
        <w:t>6. Map selected controls to Annex A / SOC 2 criteria and update the Statement of Applicability.</w:t>
      </w:r>
    </w:p>
    <w:p>
      <w:pPr>
        <w:ind w:left="340" w:hanging="340"/>
      </w:pPr>
      <w:r>
        <w:t>7. Record the treatment plan with owner, due date and target residual risk.</w:t>
      </w:r>
    </w:p>
    <w:p>
      <w:pPr>
        <w:ind w:left="340" w:hanging="340"/>
      </w:pPr>
      <w:r>
        <w:t>8. Obtain risk owner approval of the treatment plan and acceptance of residual risk.</w:t>
      </w:r>
    </w:p>
    <w:p>
      <w:pPr>
        <w:ind w:left="340" w:hanging="340"/>
      </w:pPr>
      <w:r>
        <w:t>9. Report results to management review.</w:t>
      </w:r>
    </w:p>
    <w:p>
      <w:pPr>
        <w:pStyle w:val="Heading1"/>
      </w:pPr>
      <w:r>
        <w:t>6. Triggers for reassessment</w:t>
      </w:r>
    </w:p>
    <w:p>
      <w:pPr>
        <w:pStyle w:val="ListBullet"/>
      </w:pPr>
      <w:r>
        <w:t>Annual scheduled assessment</w:t>
      </w:r>
    </w:p>
    <w:p>
      <w:pPr>
        <w:pStyle w:val="ListBullet"/>
      </w:pPr>
      <w:r>
        <w:t>Significant change to products, infrastructure, suppliers or organisation</w:t>
      </w:r>
    </w:p>
    <w:p>
      <w:pPr>
        <w:pStyle w:val="ListBullet"/>
      </w:pPr>
      <w:r>
        <w:t>Major incident or audit finding</w:t>
      </w:r>
    </w:p>
    <w:p>
      <w:pPr>
        <w:pStyle w:val="ListBullet"/>
      </w:pPr>
      <w:r>
        <w:t>New legal or contractual requirement</w:t>
      </w:r>
    </w:p>
    <w:p>
      <w:pPr>
        <w:pStyle w:val="Heading1"/>
      </w:pPr>
      <w:r>
        <w:t>7. Frequency and timing</w:t>
      </w:r>
    </w:p>
    <w:p>
      <w:r>
        <w:t>Full assessment at least annually; targeted reassessment on triggers.</w:t>
      </w:r>
    </w:p>
    <w:p>
      <w:pPr>
        <w:pStyle w:val="Heading1"/>
      </w:pPr>
      <w:r>
        <w:t>8. Record</w:t>
      </w:r>
    </w:p>
    <w:p>
      <w:r>
        <w:rPr>
          <w:i/>
        </w:rPr>
        <w:t>Complete one copy of this table per entry (or keep entries in a spreadsheet with these columns).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Entry</w:t>
            </w:r>
          </w:p>
        </w:tc>
      </w:tr>
      <w:tr>
        <w:tc>
          <w:tcPr>
            <w:tcW w:type="dxa" w:w="4873"/>
          </w:tcPr>
          <w:p>
            <w:r>
              <w:t>Risk ID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Asset / process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Threat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Vulnerability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Existing controls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Likelihood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Impact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Inherent score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Treatment option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Planned controls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Owner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Due date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Residual score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Accepted by / date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Heading1"/>
      </w:pPr>
      <w:r>
        <w:t>9. Audit evidence checklist</w:t>
      </w:r>
    </w:p>
    <w:p>
      <w:r>
        <w:t>Retain the following so an auditor can test this control:</w:t>
      </w:r>
    </w:p>
    <w:p>
      <w:r>
        <w:t>☐  Approved methodology with defined criteria</w:t>
      </w:r>
    </w:p>
    <w:p>
      <w:r>
        <w:t>☐  Completed risk register with dates and owners</w:t>
      </w:r>
    </w:p>
    <w:p>
      <w:r>
        <w:t>☐  Risk treatment plan with status</w:t>
      </w:r>
    </w:p>
    <w:p>
      <w:r>
        <w:t>☐  Risk owner acceptance of residual risk</w:t>
      </w:r>
    </w:p>
    <w:p>
      <w:r>
        <w:t>☐  Evidence of annual assessment and management review</w:t>
      </w:r>
    </w:p>
    <w:p>
      <w:pPr>
        <w:pStyle w:val="Heading1"/>
      </w:pPr>
      <w:r>
        <w:t>10. Framework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4873"/>
          </w:tcPr>
          <w:p>
            <w:r>
              <w:t>ISO 27001</w:t>
            </w:r>
          </w:p>
        </w:tc>
        <w:tc>
          <w:tcPr>
            <w:tcW w:type="dxa" w:w="4873"/>
          </w:tcPr>
          <w:p>
            <w:r>
              <w:t>Clauses 6.1.2, 6.1.3, 8.2, 8.3</w:t>
            </w:r>
          </w:p>
        </w:tc>
      </w:tr>
      <w:tr>
        <w:tc>
          <w:tcPr>
            <w:tcW w:type="dxa" w:w="4873"/>
          </w:tcPr>
          <w:p>
            <w:r>
              <w:t>SOC 2</w:t>
            </w:r>
          </w:p>
        </w:tc>
        <w:tc>
          <w:tcPr>
            <w:tcW w:type="dxa" w:w="4873"/>
          </w:tcPr>
          <w:p>
            <w:r>
              <w:t>CC3.1 to CC3.4, CC9.1</w:t>
            </w:r>
          </w:p>
        </w:tc>
      </w:tr>
      <w:tr>
        <w:tc>
          <w:tcPr>
            <w:tcW w:type="dxa" w:w="4873"/>
          </w:tcPr>
          <w:p>
            <w:r>
              <w:t>HIPAA</w:t>
            </w:r>
          </w:p>
        </w:tc>
        <w:tc>
          <w:tcPr>
            <w:tcW w:type="dxa" w:w="4873"/>
          </w:tcPr>
          <w:p>
            <w:r>
              <w:t>164.308(a)(1)(ii)(A), (B)</w:t>
            </w:r>
          </w:p>
        </w:tc>
      </w:tr>
      <w:tr>
        <w:tc>
          <w:tcPr>
            <w:tcW w:type="dxa" w:w="4873"/>
          </w:tcPr>
          <w:p>
            <w:r>
              <w:t>GDPR</w:t>
            </w:r>
          </w:p>
        </w:tc>
        <w:tc>
          <w:tcPr>
            <w:tcW w:type="dxa" w:w="4873"/>
          </w:tcPr>
          <w:p>
            <w:r>
              <w:t>Art. 24, 32</w:t>
            </w:r>
          </w:p>
        </w:tc>
      </w:tr>
    </w:tbl>
    <w:p/>
    <w:p>
      <w:pPr>
        <w:pStyle w:val="Heading1"/>
      </w:pPr>
      <w:r>
        <w:t>11. 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436"/>
          </w:tcPr>
          <w:p>
            <w:r>
              <w:t>Prepared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Reviewed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Approved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</w:tbl>
    <w:p/>
    <w:p>
      <w:r>
        <w:rPr>
          <w:b/>
        </w:rP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Description of change</w:t>
            </w:r>
          </w:p>
        </w:tc>
      </w:tr>
      <w:tr>
        <w:tc>
          <w:tcPr>
            <w:tcW w:type="dxa" w:w="2436"/>
          </w:tcPr>
          <w:p>
            <w:r>
              <w:t>1.0</w:t>
            </w:r>
          </w:p>
        </w:tc>
        <w:tc>
          <w:tcPr>
            <w:tcW w:type="dxa" w:w="2436"/>
          </w:tcPr>
          <w:p>
            <w:r>
              <w:t>[YYYY-MM-DD]</w:t>
            </w:r>
          </w:p>
        </w:tc>
        <w:tc>
          <w:tcPr>
            <w:tcW w:type="dxa" w:w="2436"/>
          </w:tcPr>
          <w:p>
            <w:r>
              <w:t>[Role]</w:t>
            </w:r>
          </w:p>
        </w:tc>
        <w:tc>
          <w:tcPr>
            <w:tcW w:type="dxa" w:w="2436"/>
          </w:tcPr>
          <w:p>
            <w:r>
              <w:t>Initial version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and Treatment Methodology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