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Special Category Data Assessment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Assesses processing of special category data and the Art. 9 condition relied on.</w:t>
      </w:r>
    </w:p>
    <w:p>
      <w:pPr>
        <w:pStyle w:val="Heading1"/>
      </w:pPr>
      <w:r>
        <w:t>2. Scope</w:t>
      </w:r>
    </w:p>
    <w:p>
      <w:r>
        <w:t>Processing of health, biometric, genetic, racial/ethnic, religious, political, union, sex life or orientation data.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Describe the data and processing.</w:t>
      </w:r>
    </w:p>
    <w:p>
      <w:pPr>
        <w:ind w:left="340" w:hanging="340"/>
      </w:pPr>
      <w:r>
        <w:t>2. Identify the Art. 6 lawful basis and the Art. 9(2) condition.</w:t>
      </w:r>
    </w:p>
    <w:p>
      <w:pPr>
        <w:ind w:left="340" w:hanging="340"/>
      </w:pPr>
      <w:r>
        <w:t>3. Identify safeguards (access, encryption, minimisation).</w:t>
      </w:r>
    </w:p>
    <w:p>
      <w:pPr>
        <w:ind w:left="340" w:hanging="340"/>
      </w:pPr>
      <w:r>
        <w:t>4. Assess whether a DPIA is required.</w:t>
      </w:r>
    </w:p>
    <w:p>
      <w:pPr>
        <w:ind w:left="340" w:hanging="340"/>
      </w:pPr>
      <w:r>
        <w:t>5. Record approval.</w:t>
      </w:r>
    </w:p>
    <w:p>
      <w:pPr>
        <w:pStyle w:val="Heading1"/>
      </w:pPr>
      <w:r>
        <w:t>5. Frequency and timing</w:t>
      </w:r>
    </w:p>
    <w:p>
      <w:r>
        <w:t>Each new processing activity; reviewed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Processing activity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Special category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Art. 6 basis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Art. 9 condition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Safeguards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DPIA required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assessments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9, 35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Category Data Assessment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