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Sub-Processor Change Notice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Notifies customers of new or changed sub-processors and gives them the opportunity to object.</w:t>
      </w:r>
    </w:p>
    <w:p>
      <w:pPr>
        <w:pStyle w:val="Heading1"/>
      </w:pPr>
      <w:r>
        <w:t>2. Scope</w:t>
      </w:r>
    </w:p>
    <w:p>
      <w:r>
        <w:t>Changes to sub-processors processing customer personal data.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Privacy Officer</w:t>
            </w:r>
          </w:p>
        </w:tc>
        <w:tc>
          <w:tcPr>
            <w:tcW w:type="dxa" w:w="4873"/>
          </w:tcPr>
          <w:p>
            <w:r>
              <w:t>Sends notices.</w:t>
            </w:r>
          </w:p>
        </w:tc>
      </w:tr>
    </w:tbl>
    <w:p/>
    <w:p>
      <w:pPr>
        <w:pStyle w:val="Heading1"/>
      </w:pPr>
      <w:r>
        <w:t>4. Notice template</w:t>
      </w:r>
    </w:p>
    <w:p>
      <w:pPr>
        <w:pStyle w:val="ListBullet"/>
      </w:pPr>
      <w:r>
        <w:t>Subject: Notice of sub-processor change</w:t>
      </w:r>
    </w:p>
    <w:p>
      <w:pPr>
        <w:pStyle w:val="ListBullet"/>
      </w:pPr>
      <w:r>
        <w:t>New / changed sub-processor: [Name], [service], [location], [data processed].</w:t>
      </w:r>
    </w:p>
    <w:p>
      <w:pPr>
        <w:pStyle w:val="ListBullet"/>
      </w:pPr>
      <w:r>
        <w:t>Effective date: [at least 30 days after notice].</w:t>
      </w:r>
    </w:p>
    <w:p>
      <w:pPr>
        <w:pStyle w:val="ListBullet"/>
      </w:pPr>
      <w:r>
        <w:t>How to object: reply to [privacy contact] by [date] with reasonable grounds.</w:t>
      </w:r>
    </w:p>
    <w:p>
      <w:pPr>
        <w:pStyle w:val="ListBullet"/>
      </w:pPr>
      <w:r>
        <w:t>Updated sub-processor list: [link].</w:t>
      </w:r>
    </w:p>
    <w:p>
      <w:pPr>
        <w:pStyle w:val="Heading1"/>
      </w:pPr>
      <w:r>
        <w:t>5. Procedure</w:t>
      </w:r>
    </w:p>
    <w:p>
      <w:pPr>
        <w:ind w:left="340" w:hanging="340"/>
      </w:pPr>
      <w:r>
        <w:t>1. Complete vendor security and privacy review first.</w:t>
      </w:r>
    </w:p>
    <w:p>
      <w:pPr>
        <w:ind w:left="340" w:hanging="340"/>
      </w:pPr>
      <w:r>
        <w:t>2. Update the public sub-processor list.</w:t>
      </w:r>
    </w:p>
    <w:p>
      <w:pPr>
        <w:ind w:left="340" w:hanging="340"/>
      </w:pPr>
      <w:r>
        <w:t>3. Notify customers per DPA notice period.</w:t>
      </w:r>
    </w:p>
    <w:p>
      <w:pPr>
        <w:ind w:left="340" w:hanging="340"/>
      </w:pPr>
      <w:r>
        <w:t>4. Handle objections per the DPA.</w:t>
      </w:r>
    </w:p>
    <w:p>
      <w:pPr>
        <w:pStyle w:val="Heading1"/>
      </w:pPr>
      <w:r>
        <w:t>6. Frequency and timing</w:t>
      </w:r>
    </w:p>
    <w:p>
      <w:r>
        <w:t>Each change.</w:t>
      </w:r>
    </w:p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Notices sent</w:t>
      </w:r>
    </w:p>
    <w:p>
      <w:r>
        <w:t>☐  Sub-processor list history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28(2), (4)</w:t>
            </w:r>
          </w:p>
        </w:tc>
      </w:tr>
    </w:tbl>
    <w:p/>
    <w:p>
      <w:pPr>
        <w:pStyle w:val="Heading1"/>
      </w:pPr>
      <w:r>
        <w:t>9.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Sub-Processor Change Notice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