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Supplier Agreement Security Clauses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Standard information security clauses for supplier agreements.</w:t>
      </w:r>
    </w:p>
    <w:p>
      <w:pPr>
        <w:pStyle w:val="Heading1"/>
      </w:pPr>
      <w:r>
        <w:t>2. Scope</w:t>
      </w:r>
    </w:p>
    <w:p>
      <w:r>
        <w:t>Supplier contracts where the supplier accesses data or provides critical services.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Legal</w:t>
            </w:r>
          </w:p>
        </w:tc>
        <w:tc>
          <w:tcPr>
            <w:tcW w:type="dxa" w:w="4873"/>
          </w:tcPr>
          <w:p>
            <w:r>
              <w:t>Includes clauses.</w:t>
            </w:r>
          </w:p>
        </w:tc>
      </w:tr>
      <w:tr>
        <w:tc>
          <w:tcPr>
            <w:tcW w:type="dxa" w:w="4873"/>
          </w:tcPr>
          <w:p>
            <w:r>
              <w:t>Vendor Owner</w:t>
            </w:r>
          </w:p>
        </w:tc>
        <w:tc>
          <w:tcPr>
            <w:tcW w:type="dxa" w:w="4873"/>
          </w:tcPr>
          <w:p>
            <w:r>
              <w:t>Monitors compliance.</w:t>
            </w:r>
          </w:p>
        </w:tc>
      </w:tr>
    </w:tbl>
    <w:p/>
    <w:p>
      <w:pPr>
        <w:pStyle w:val="Heading1"/>
      </w:pPr>
      <w:r>
        <w:t>4. Clauses</w:t>
      </w:r>
    </w:p>
    <w:p>
      <w:pPr>
        <w:pStyle w:val="ListBullet"/>
      </w:pPr>
      <w:r>
        <w:t>Supplier maintains an information security programme aligned to ISO 27001 or SOC 2 and provides evidence annually.</w:t>
      </w:r>
    </w:p>
    <w:p>
      <w:pPr>
        <w:pStyle w:val="ListBullet"/>
      </w:pPr>
      <w:r>
        <w:t>Supplier protects Company data with encryption, access control and logging.</w:t>
      </w:r>
    </w:p>
    <w:p>
      <w:pPr>
        <w:pStyle w:val="ListBullet"/>
      </w:pPr>
      <w:r>
        <w:t>Supplier notifies Company of security incidents affecting Company data within [48] hours.</w:t>
      </w:r>
    </w:p>
    <w:p>
      <w:pPr>
        <w:pStyle w:val="ListBullet"/>
      </w:pPr>
      <w:r>
        <w:t>Supplier flows down equivalent obligations to subcontractors and notifies Company of changes.</w:t>
      </w:r>
    </w:p>
    <w:p>
      <w:pPr>
        <w:pStyle w:val="ListBullet"/>
      </w:pPr>
      <w:r>
        <w:t>Company may audit or assess Supplier on reasonable notice.</w:t>
      </w:r>
    </w:p>
    <w:p>
      <w:pPr>
        <w:pStyle w:val="ListBullet"/>
      </w:pPr>
      <w:r>
        <w:t>Supplier returns or deletes Company data at termination and certifies deletion.</w:t>
      </w:r>
    </w:p>
    <w:p>
      <w:pPr>
        <w:pStyle w:val="ListBullet"/>
      </w:pPr>
      <w:r>
        <w:t>Supplier complies with applicable data protection law and signs a DPA/BAA where required.</w:t>
      </w:r>
    </w:p>
    <w:p>
      <w:pPr>
        <w:pStyle w:val="ListBullet"/>
      </w:pPr>
      <w:r>
        <w:t>Supplier maintains business continuity arrangements for services provided.</w:t>
      </w:r>
    </w:p>
    <w:p>
      <w:pPr>
        <w:pStyle w:val="Heading1"/>
      </w:pPr>
      <w:r>
        <w:t>5. Frequency and timing</w:t>
      </w:r>
    </w:p>
    <w:p>
      <w:r>
        <w:t>Each contract.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Executed agreements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A.5.20, A.5.21</w:t>
            </w:r>
          </w:p>
        </w:tc>
      </w:tr>
    </w:tbl>
    <w:p/>
    <w:p>
      <w:pPr>
        <w:pStyle w:val="Heading1"/>
      </w:pPr>
      <w:r>
        <w:t>8.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Agreement Security Clauses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