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Anonymous Whistleblower Channel Notice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Gives employees, contractors and third parties a confidential, anonymous way to report misconduct, fraud or security concerns without fear of retaliation.</w:t>
      </w:r>
    </w:p>
    <w:p>
      <w:pPr>
        <w:pStyle w:val="Heading1"/>
      </w:pPr>
      <w:r>
        <w:t>2. Scope</w:t>
      </w:r>
    </w:p>
    <w:p>
      <w:r>
        <w:t>All personnel, contractors, suppliers and customers.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Ethics / Compliance Officer</w:t>
            </w:r>
          </w:p>
        </w:tc>
        <w:tc>
          <w:tcPr>
            <w:tcW w:type="dxa" w:w="4873"/>
          </w:tcPr>
          <w:p>
            <w:r>
              <w:t>Receives and triages reports.</w:t>
            </w:r>
          </w:p>
        </w:tc>
      </w:tr>
      <w:tr>
        <w:tc>
          <w:tcPr>
            <w:tcW w:type="dxa" w:w="4873"/>
          </w:tcPr>
          <w:p>
            <w:r>
              <w:t>Board or Audit Chair</w:t>
            </w:r>
          </w:p>
        </w:tc>
        <w:tc>
          <w:tcPr>
            <w:tcW w:type="dxa" w:w="4873"/>
          </w:tcPr>
          <w:p>
            <w:r>
              <w:t>Receives reports involving senior management.</w:t>
            </w:r>
          </w:p>
        </w:tc>
      </w:tr>
      <w:tr>
        <w:tc>
          <w:tcPr>
            <w:tcW w:type="dxa" w:w="4873"/>
          </w:tcPr>
          <w:p>
            <w:r>
              <w:t>All personnel</w:t>
            </w:r>
          </w:p>
        </w:tc>
        <w:tc>
          <w:tcPr>
            <w:tcW w:type="dxa" w:w="4873"/>
          </w:tcPr>
          <w:p>
            <w:r>
              <w:t>Report concerns in good faith.</w:t>
            </w:r>
          </w:p>
        </w:tc>
      </w:tr>
    </w:tbl>
    <w:p/>
    <w:p>
      <w:pPr>
        <w:pStyle w:val="Heading1"/>
      </w:pPr>
      <w:r>
        <w:t>4. What can be reported</w:t>
      </w:r>
    </w:p>
    <w:p>
      <w:pPr>
        <w:pStyle w:val="ListBullet"/>
      </w:pPr>
      <w:r>
        <w:t>Fraud, bribery or financial misconduct</w:t>
      </w:r>
    </w:p>
    <w:p>
      <w:pPr>
        <w:pStyle w:val="ListBullet"/>
      </w:pPr>
      <w:r>
        <w:t>Breaches of law, regulation or the code of conduct</w:t>
      </w:r>
    </w:p>
    <w:p>
      <w:pPr>
        <w:pStyle w:val="ListBullet"/>
      </w:pPr>
      <w:r>
        <w:t>Information security or privacy violations</w:t>
      </w:r>
    </w:p>
    <w:p>
      <w:pPr>
        <w:pStyle w:val="ListBullet"/>
      </w:pPr>
      <w:r>
        <w:t>Harassment, discrimination or unsafe practices</w:t>
      </w:r>
    </w:p>
    <w:p>
      <w:pPr>
        <w:pStyle w:val="ListBullet"/>
      </w:pPr>
      <w:r>
        <w:t>Retaliation against someone who raised a concern</w:t>
      </w:r>
    </w:p>
    <w:p>
      <w:pPr>
        <w:pStyle w:val="Heading1"/>
      </w:pPr>
      <w:r>
        <w:t>5. How to report</w:t>
      </w:r>
    </w:p>
    <w:p>
      <w:pPr>
        <w:ind w:left="340" w:hanging="340"/>
      </w:pPr>
      <w:r>
        <w:t>1. Anonymous channel: [hotline URL / form / phone number provided by an independent service]</w:t>
      </w:r>
    </w:p>
    <w:p>
      <w:pPr>
        <w:ind w:left="340" w:hanging="340"/>
      </w:pPr>
      <w:r>
        <w:t>2. Direct contact: [Ethics Officer role and email]</w:t>
      </w:r>
    </w:p>
    <w:p>
      <w:pPr>
        <w:ind w:left="340" w:hanging="340"/>
      </w:pPr>
      <w:r>
        <w:t>3. Concerns about senior management: [Board / Audit Chair contact]</w:t>
      </w:r>
    </w:p>
    <w:p>
      <w:pPr>
        <w:pStyle w:val="Heading1"/>
      </w:pPr>
      <w:r>
        <w:t>6. What happens next</w:t>
      </w:r>
    </w:p>
    <w:p>
      <w:pPr>
        <w:pStyle w:val="ListBullet"/>
      </w:pPr>
      <w:r>
        <w:t>Reports are acknowledged within [7] days where contact details are provided.</w:t>
      </w:r>
    </w:p>
    <w:p>
      <w:pPr>
        <w:pStyle w:val="ListBullet"/>
      </w:pPr>
      <w:r>
        <w:t>Each report is logged, assessed and investigated by someone independent of the matter.</w:t>
      </w:r>
    </w:p>
    <w:p>
      <w:pPr>
        <w:pStyle w:val="ListBullet"/>
      </w:pPr>
      <w:r>
        <w:t>The reporter's identity is kept confidential.</w:t>
      </w:r>
    </w:p>
    <w:p>
      <w:pPr>
        <w:pStyle w:val="ListBullet"/>
      </w:pPr>
      <w:r>
        <w:t>Retaliation is prohibited and is itself a disciplinary matter.</w:t>
      </w:r>
    </w:p>
    <w:p>
      <w:pPr>
        <w:pStyle w:val="ListBullet"/>
      </w:pPr>
      <w:r>
        <w:t>Outcomes are reported to the board in summary form.</w:t>
      </w:r>
    </w:p>
    <w:p>
      <w:pPr>
        <w:pStyle w:val="Heading1"/>
      </w:pPr>
      <w:r>
        <w:t>7. Frequency and timing</w:t>
      </w:r>
    </w:p>
    <w:p>
      <w:r>
        <w:t>Notice reviewed annually; channel tested at least annually.</w:t>
      </w:r>
    </w:p>
    <w:p>
      <w:pPr>
        <w:pStyle w:val="Heading1"/>
      </w:pPr>
      <w:r>
        <w:t>8. Audit evidence checklist</w:t>
      </w:r>
    </w:p>
    <w:p>
      <w:r>
        <w:t>Retain the following so an auditor can test this control:</w:t>
      </w:r>
    </w:p>
    <w:p>
      <w:r>
        <w:t>☐  Published notice (intranet, handbook)</w:t>
      </w:r>
    </w:p>
    <w:p>
      <w:r>
        <w:t>☐  Evidence the channel works (test record)</w:t>
      </w:r>
    </w:p>
    <w:p>
      <w:r>
        <w:t>☐  Anonymised log of reports and outcomes</w:t>
      </w:r>
    </w:p>
    <w:p>
      <w:pPr>
        <w:pStyle w:val="Heading1"/>
      </w:pPr>
      <w:r>
        <w:t>9.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CC1.1, CC2.2, CC2.3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A.6.8</w:t>
            </w:r>
          </w:p>
        </w:tc>
      </w:tr>
    </w:tbl>
    <w:p/>
    <w:p>
      <w:pPr>
        <w:pStyle w:val="Heading1"/>
      </w:pPr>
      <w:r>
        <w:t>10.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Anonymous Whistleblower Channel Notice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