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 Prep: Contact Centre Threat Modelling and Incident Response</w:t>
      </w:r>
    </w:p>
    <w:p>
      <w:r>
        <w:t>Organisation: [ORG_NAME]    Owner: [OWNER_ROLE]    Classification: Internal</w:t>
      </w:r>
    </w:p>
    <w:p>
      <w:pPr>
        <w:pStyle w:val="Heading2"/>
      </w:pPr>
      <w:r>
        <w:t>Q1. What is STRIDE and when do you use it?</w:t>
      </w:r>
    </w:p>
    <w:p>
      <w:r>
        <w:t>STRIDE is a checklist of six ways a system can be attacked: Spoofing, Tampering, Repudiation, Information disclosure, Denial of service and Elevation of privilege. I use it at design time on each component and data flow. Example: for a voice bot, Spoofing makes me ask whether caller ID alone is trusted for verification.</w:t>
      </w:r>
    </w:p>
    <w:p>
      <w:pPr>
        <w:pStyle w:val="Heading2"/>
      </w:pPr>
      <w:r>
        <w:t>Q2. What is LINDDUN and how is it different from STRIDE?</w:t>
      </w:r>
    </w:p>
    <w:p>
      <w:r>
        <w:t>LINDDUN asks whether the system harms people even when it works as designed: Linking, Identifying, Non-repudiation, Detecting, Data disclosure, Unawareness and Non-compliance. STRIDE protects the system; LINDDUN protects the people in the data. Example: a perfectly secure data lake can still link phone numbers to chat sessions to build profiles nobody agreed to.</w:t>
      </w:r>
    </w:p>
    <w:p>
      <w:pPr>
        <w:pStyle w:val="Heading2"/>
      </w:pPr>
      <w:r>
        <w:t>Q3. Give an example where a security control creates a privacy harm.</w:t>
      </w:r>
    </w:p>
    <w:p>
      <w:r>
        <w:t>Immutable audit logs stop people denying actions, but they also make it impossible to erase a caller's link to a sensitive complaint. I pseudonymise identifiers and crypto-shred the key on a valid erasure request, so the log stays intact but the person can no longer be identified.</w:t>
      </w:r>
    </w:p>
    <w:p>
      <w:pPr>
        <w:pStyle w:val="Heading2"/>
      </w:pPr>
      <w:r>
        <w:t>Q4. How would you threat-model a new contact-centre integration?</w:t>
      </w:r>
    </w:p>
    <w:p>
      <w:r>
        <w:t>Draw the data flow, mark trust boundaries, then run STRIDE per element and LINDDUN per personal data flow. Rate each threat, map controls, and record residual risk with an owner. Example: a new CRM-to-lake sync gets a Tampering check on the sync target and a Linking check on the joined fields.</w:t>
      </w:r>
    </w:p>
    <w:p>
      <w:pPr>
        <w:pStyle w:val="Heading2"/>
      </w:pPr>
      <w:r>
        <w:t>Q5. What are the top container security controls?</w:t>
      </w:r>
    </w:p>
    <w:p>
      <w:r>
        <w:t>Private API server, cloud identity auth with no local admin accounts, namespace RBAC, network policies, no privileged pods, signed images and runtime detection. Example: blocking privileged pods stops the classic container-escape-to-node attack.</w:t>
      </w:r>
    </w:p>
    <w:p>
      <w:pPr>
        <w:pStyle w:val="Heading2"/>
      </w:pPr>
      <w:r>
        <w:t>Q6. Why is workload identity better than client secrets?</w:t>
      </w:r>
    </w:p>
    <w:p>
      <w:r>
        <w:t>There is no long-lived secret to leak or rotate; the platform issues short-lived tokens tied to the workload. Example: a connection string baked into an image can be pulled by anyone with registry read access; workload identity leaves nothing to steal.</w:t>
      </w:r>
    </w:p>
    <w:p>
      <w:pPr>
        <w:pStyle w:val="Heading2"/>
      </w:pPr>
      <w:r>
        <w:t>Q7. What are the main SIP security risks?</w:t>
      </w:r>
    </w:p>
    <w:p>
      <w:r>
        <w:t>Caller-ID and INVITE spoofing, header tampering, unencrypted RTP, exposed SBC management, floods and toll fraud. Controls are SIP over TLS, SRTP, private management, rate limits and dial-plan change monitoring. Example: a changed dial plan can route refund calls to premium-rate numbers.</w:t>
      </w:r>
    </w:p>
    <w:p>
      <w:pPr>
        <w:pStyle w:val="Heading2"/>
      </w:pPr>
      <w:r>
        <w:t>Q8. How do you protect logging integrity?</w:t>
      </w:r>
    </w:p>
    <w:p>
      <w:r>
        <w:t>Lock diagnostic settings with policy, alert on any change or volume drop, and copy critical logs to immutable storage under a separate account. Example: if logs from production drop to zero at 3 a.m., treat it as tampering until proven otherwise.</w:t>
      </w:r>
    </w:p>
    <w:p>
      <w:pPr>
        <w:pStyle w:val="Heading2"/>
      </w:pPr>
      <w:r>
        <w:t>Q9. How do you stop PII leaking into telemetry?</w:t>
      </w:r>
    </w:p>
    <w:p>
      <w:r>
        <w:t>Mask at the collector, allow-list fields, scan samples for PII patterns and contract the vendor as a processor. Example: APM traces often capture full URLs that contain phone numbers.</w:t>
      </w:r>
    </w:p>
    <w:p>
      <w:pPr>
        <w:pStyle w:val="Heading2"/>
      </w:pPr>
      <w:r>
        <w:t>Q10. What does privacy by design mean in a contact centre?</w:t>
      </w:r>
    </w:p>
    <w:p>
      <w:r>
        <w:t>Collect only what the purpose needs, tell callers about recording and AI, set retention per store, and build deletion into pipelines. Example: pseudonymise caller numbers before syncing to the lake, so analysts never see raw numbers.</w:t>
      </w:r>
    </w:p>
    <w:p>
      <w:pPr>
        <w:pStyle w:val="Heading2"/>
      </w:pPr>
      <w:r>
        <w:t>Q11. When is voice data special category under GDPR?</w:t>
      </w:r>
    </w:p>
    <w:p>
      <w:r>
        <w:t>When it is processed to uniquely identify someone, such as voice biometrics. Then you need an Art. 9 condition, usually explicit consent, and a DPIA. Example: recording a call for quality is not biometric; matching a voiceprint to authenticate is.</w:t>
      </w:r>
    </w:p>
    <w:p>
      <w:pPr>
        <w:pStyle w:val="Heading2"/>
      </w:pPr>
      <w:r>
        <w:t>Q12. How do you handle an erasure request that spans immutable logs and backups?</w:t>
      </w:r>
    </w:p>
    <w:p>
      <w:r>
        <w:t>Delete what you can, restrict processing of the rest, and document why. Use crypto-shredding or per-subject keys so backups become unreadable. Example: the backup tape stays, but the caller's key is destroyed.</w:t>
      </w:r>
    </w:p>
    <w:p>
      <w:pPr>
        <w:pStyle w:val="Heading2"/>
      </w:pPr>
      <w:r>
        <w:t>Q13. What would you check in a vendor questionnaire for an observability provider?</w:t>
      </w:r>
    </w:p>
    <w:p>
      <w:r>
        <w:t>Data residency, sub-processors, PII handling and masking options, retention, deletion on request, breach notice time, SSO and MFA, and certifications. Example: confirm whether traces are stored outside [DATA_REGION].</w:t>
      </w:r>
    </w:p>
    <w:p>
      <w:pPr>
        <w:pStyle w:val="Heading2"/>
      </w:pPr>
      <w:r>
        <w:t>Q14. How do you run an incident command structure?</w:t>
      </w:r>
    </w:p>
    <w:p>
      <w:r>
        <w:t>An incident commander owns decisions, with leads for technical, communications, legal and privacy, and a scribe. Decisions and times are logged. Example: in a SIP flood, the commander decides whether to block IP ranges while the comms lead updates customer-facing teams.</w:t>
      </w:r>
    </w:p>
    <w:p>
      <w:pPr>
        <w:pStyle w:val="Heading2"/>
      </w:pPr>
      <w:r>
        <w:t>Q15. What makes a good tabletop exercise?</w:t>
      </w:r>
    </w:p>
    <w:p>
      <w:r>
        <w:t>A realistic scenario, timed injects that force decisions, the right people in the room, and an after-action report with owners and dates. Example: an inject that says "logs stopped at 03:00" tests both detection and escalation.</w:t>
      </w:r>
    </w:p>
    <w:p>
      <w:pPr>
        <w:pStyle w:val="Heading2"/>
      </w:pPr>
      <w:r>
        <w:t>Q16. How do you score TTX maturity?</w:t>
      </w:r>
    </w:p>
    <w:p>
      <w:r>
        <w:t>1 ad hoc, 2 roles known, 3 documented and followed, 4 measured with metrics, 5 continuously improved. Example: if no one knew who could disable an admin account at night, that response scores 1 or 2.</w:t>
      </w:r>
    </w:p>
    <w:p>
      <w:pPr>
        <w:pStyle w:val="Heading2"/>
      </w:pPr>
      <w:r>
        <w:t>Q17. How do you decide whether a privacy incident is notifiable?</w:t>
      </w:r>
    </w:p>
    <w:p>
      <w:r>
        <w:t>Assess whether personal data was affected and the risk to people's rights, then check the notification rules in [LOCAL_PRIVACY_LAW]. Under GDPR, notify the regulator within 72 hours unless risk is unlikely, and individuals when risk is high. Example: masked phone numbers leaking may be low risk; full names with health complaints are not.</w:t>
      </w:r>
    </w:p>
    <w:p>
      <w:pPr>
        <w:pStyle w:val="Heading2"/>
      </w:pPr>
      <w:r>
        <w:t>Q18. What is the risk with personal access tokens in BI tools?</w:t>
      </w:r>
    </w:p>
    <w:p>
      <w:r>
        <w:t>They are long-lived, tied to individuals and often survive offboarding. Example: a contractor's token found in a public repository months after they left.</w:t>
      </w:r>
    </w:p>
    <w:p>
      <w:pPr>
        <w:pStyle w:val="Heading2"/>
      </w:pPr>
      <w:r>
        <w:t>Q19. How do you balance forensic needs with data minimisation?</w:t>
      </w:r>
    </w:p>
    <w:p>
      <w:r>
        <w:t>Tiered retention, pseudonymised logs, break-glass access to raw data, and logging of who accessed forensic data. Example: keep full SIP headers for 30 days, then truncate.</w:t>
      </w:r>
    </w:p>
    <w:p>
      <w:pPr>
        <w:pStyle w:val="Heading2"/>
      </w:pPr>
      <w:r>
        <w:t>Q20. How would you explain STRIDE vs LINDDUN to an executive?</w:t>
      </w:r>
    </w:p>
    <w:p>
      <w:r>
        <w:t>STRIDE asks whether someone can break into or misuse the system; LINDDUN asks whether the system, even working perfectly, treats customers' data fairly and lawfully. Example: a locked filing cabinet is secure, but it is still a problem if it holds files we were never allowed to keep.</w:t>
      </w:r>
    </w:p>
    <w:p>
      <w:pPr>
        <w:pStyle w:val="Heading1"/>
      </w:pPr>
      <w:r>
        <w:t>Document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Version</w:t>
            </w:r>
          </w:p>
        </w:tc>
        <w:tc>
          <w:tcPr>
            <w:tcW w:type="dxa" w:w="1728"/>
          </w:tcPr>
          <w:p>
            <w:r>
              <w:rPr>
                <w:b/>
              </w:rPr>
              <w:t>Date</w:t>
            </w:r>
          </w:p>
        </w:tc>
        <w:tc>
          <w:tcPr>
            <w:tcW w:type="dxa" w:w="1728"/>
          </w:tcPr>
          <w:p>
            <w:r>
              <w:rPr>
                <w:b/>
              </w:rPr>
              <w:t>Description</w:t>
            </w:r>
          </w:p>
        </w:tc>
        <w:tc>
          <w:tcPr>
            <w:tcW w:type="dxa" w:w="1728"/>
          </w:tcPr>
          <w:p>
            <w:r>
              <w:rPr>
                <w:b/>
              </w:rPr>
              <w:t>Written by</w:t>
            </w:r>
          </w:p>
        </w:tc>
        <w:tc>
          <w:tcPr>
            <w:tcW w:type="dxa" w:w="1728"/>
          </w:tcPr>
          <w:p>
            <w:r>
              <w:rPr>
                <w:b/>
              </w:rPr>
              <w:t>Approved by</w:t>
            </w:r>
          </w:p>
        </w:tc>
      </w:tr>
      <w:tr>
        <w:tc>
          <w:tcPr>
            <w:tcW w:type="dxa" w:w="1728"/>
          </w:tcPr>
          <w:p>
            <w:r>
              <w:t>1.0</w:t>
            </w:r>
          </w:p>
        </w:tc>
        <w:tc>
          <w:tcPr>
            <w:tcW w:type="dxa" w:w="1728"/>
          </w:tcPr>
          <w:p>
            <w:r>
              <w:t>[DATE]</w:t>
            </w:r>
          </w:p>
        </w:tc>
        <w:tc>
          <w:tcPr>
            <w:tcW w:type="dxa" w:w="1728"/>
          </w:tcPr>
          <w:p>
            <w:r>
              <w:t>Initial version</w:t>
            </w:r>
          </w:p>
        </w:tc>
        <w:tc>
          <w:tcPr>
            <w:tcW w:type="dxa" w:w="1728"/>
          </w:tcPr>
          <w:p>
            <w:r>
              <w:t>[AUTHOR]</w:t>
            </w:r>
          </w:p>
        </w:tc>
        <w:tc>
          <w:tcPr>
            <w:tcW w:type="dxa" w:w="1728"/>
          </w:tcPr>
          <w:p>
            <w:r>
              <w:t>[APPROVER]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[ORG_NAME]</dc:creator>
  <cp:keywords/>
  <dc:description>generated by python-docx</dc:description>
  <cp:lastModifiedBy>[ORG_NAME]</cp:lastModifiedBy>
  <cp:revision>1</cp:revision>
  <dcterms:created xsi:type="dcterms:W3CDTF">2013-12-23T23:15:00Z</dcterms:created>
  <dcterms:modified xsi:type="dcterms:W3CDTF">2013-12-23T23:15:00Z</dcterms:modified>
  <cp:category/>
</cp:coreProperties>
</file>