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isk-assessment-report-example-co."/>
    <w:p>
      <w:pPr>
        <w:pStyle w:val="Heading1"/>
      </w:pPr>
      <w:r>
        <w:t xml:space="preserve">Risk Assessment Report: Example Co.</w:t>
      </w:r>
    </w:p>
    <w:p>
      <w:pPr>
        <w:pStyle w:val="FirstParagraph"/>
      </w:pPr>
      <w:r>
        <w:t xml:space="preserve">Assessment period: [start date] to [end date]</w:t>
      </w:r>
      <w:r>
        <w:br/>
      </w:r>
      <w:r>
        <w:t xml:space="preserve">Report date: [date]</w:t>
      </w:r>
      <w:r>
        <w:br/>
      </w:r>
      <w:r>
        <w:t xml:space="preserve">Prepared by: Security Lead</w:t>
      </w:r>
      <w:r>
        <w:br/>
      </w:r>
      <w:r>
        <w:t xml:space="preserve">Approved by: Approver</w:t>
      </w:r>
    </w:p>
    <w:bookmarkStart w:id="20" w:name="scope"/>
    <w:p>
      <w:pPr>
        <w:pStyle w:val="Heading2"/>
      </w:pPr>
      <w:r>
        <w:t xml:space="preserve">1. Scope</w:t>
      </w:r>
    </w:p>
    <w:p>
      <w:pPr>
        <w:numPr>
          <w:ilvl w:val="0"/>
          <w:numId w:val="1001"/>
        </w:numPr>
        <w:pStyle w:val="Compact"/>
      </w:pPr>
      <w:r>
        <w:t xml:space="preserve">Systems, services and locations in scope</w:t>
      </w:r>
    </w:p>
    <w:p>
      <w:pPr>
        <w:numPr>
          <w:ilvl w:val="0"/>
          <w:numId w:val="1001"/>
        </w:numPr>
        <w:pStyle w:val="Compact"/>
      </w:pPr>
      <w:r>
        <w:t xml:space="preserve">Data types in scope (customer data, personal data, financial data)</w:t>
      </w:r>
    </w:p>
    <w:p>
      <w:pPr>
        <w:numPr>
          <w:ilvl w:val="0"/>
          <w:numId w:val="1001"/>
        </w:numPr>
        <w:pStyle w:val="Compact"/>
      </w:pPr>
      <w:r>
        <w:t xml:space="preserve">Vendors and subservice organisations in scope</w:t>
      </w:r>
    </w:p>
    <w:p>
      <w:pPr>
        <w:numPr>
          <w:ilvl w:val="0"/>
          <w:numId w:val="1001"/>
        </w:numPr>
        <w:pStyle w:val="Compact"/>
      </w:pPr>
      <w:r>
        <w:t xml:space="preserve">Exclusions and why</w: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numPr>
          <w:ilvl w:val="0"/>
          <w:numId w:val="1002"/>
        </w:numPr>
        <w:pStyle w:val="Compact"/>
      </w:pPr>
      <w:r>
        <w:t xml:space="preserve">Framework alignment: ISO/IEC 27001:2022 6.1.2, 6.1.3, 8.2, 8.3; ISO 31000; NIST SP 800-30; SOC 2 CC3.1 to CC3.4</w:t>
      </w:r>
    </w:p>
    <w:p>
      <w:pPr>
        <w:numPr>
          <w:ilvl w:val="0"/>
          <w:numId w:val="1002"/>
        </w:numPr>
        <w:pStyle w:val="Compact"/>
      </w:pPr>
      <w:r>
        <w:t xml:space="preserve">Likelihood scale (1 to 5) and impact scale (1 to 5) with definitions</w:t>
      </w:r>
    </w:p>
    <w:p>
      <w:pPr>
        <w:numPr>
          <w:ilvl w:val="0"/>
          <w:numId w:val="1002"/>
        </w:numPr>
        <w:pStyle w:val="Compact"/>
      </w:pPr>
      <w:r>
        <w:t xml:space="preserve">Score = likelihood x impact; bands: 1 to 4 Low, 5 to 9 Medium, 10 to 16 High, 17 to 25 Critical</w:t>
      </w:r>
    </w:p>
    <w:p>
      <w:pPr>
        <w:numPr>
          <w:ilvl w:val="0"/>
          <w:numId w:val="1002"/>
        </w:numPr>
        <w:pStyle w:val="Compact"/>
      </w:pPr>
      <w:r>
        <w:t xml:space="preserve">Risk appetite statement</w:t>
      </w:r>
    </w:p>
    <w:p>
      <w:pPr>
        <w:numPr>
          <w:ilvl w:val="0"/>
          <w:numId w:val="1002"/>
        </w:numPr>
        <w:pStyle w:val="Compact"/>
      </w:pPr>
      <w:r>
        <w:t xml:space="preserve">How fraud (CC3.3) and changes (CC3.4) were considered</w:t>
      </w:r>
    </w:p>
    <w:bookmarkEnd w:id="21"/>
    <w:bookmarkStart w:id="22" w:name="participants-roles"/>
    <w:p>
      <w:pPr>
        <w:pStyle w:val="Heading2"/>
      </w:pPr>
      <w:r>
        <w:t xml:space="preserve">3. Participants (roles)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Facilitated the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risks and treatment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Owner(s)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Scored and accepted ownership of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treatment plans and risk acceptances</w:t>
            </w:r>
          </w:p>
        </w:tc>
      </w:tr>
    </w:tbl>
    <w:bookmarkEnd w:id="22"/>
    <w:bookmarkStart w:id="23" w:name="summary-heatmap"/>
    <w:p>
      <w:pPr>
        <w:pStyle w:val="Heading2"/>
      </w:pPr>
      <w:r>
        <w:t xml:space="preserve">4. Summary heatmap</w:t>
      </w:r>
    </w:p>
    <w:p>
      <w:pPr>
        <w:pStyle w:val="FirstParagraph"/>
      </w:pPr>
      <w:r>
        <w:t xml:space="preserve">Insert the 5 x 5 heatmap showing the count of risks per likelihood and impact cell, inherent and residual.</w:t>
      </w:r>
    </w:p>
    <w:bookmarkEnd w:id="23"/>
    <w:bookmarkStart w:id="24" w:name="top-risks"/>
    <w:p>
      <w:pPr>
        <w:pStyle w:val="Heading2"/>
      </w:pPr>
      <w:r>
        <w:t xml:space="preserve">5. Top risks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treatment-plans"/>
    <w:p>
      <w:pPr>
        <w:pStyle w:val="Heading2"/>
      </w:pPr>
      <w:r>
        <w:t xml:space="preserve">6. Treatment plans</w:t>
      </w:r>
    </w:p>
    <w:p>
      <w:pPr>
        <w:pStyle w:val="FirstParagraph"/>
      </w:pPr>
      <w:r>
        <w:t xml:space="preserve">For each risk above appetite: linked controls, actions, owner, due date, status.</w:t>
      </w:r>
    </w:p>
    <w:bookmarkEnd w:id="25"/>
    <w:bookmarkStart w:id="26" w:name="accepted-risks-with-sign-off"/>
    <w:p>
      <w:pPr>
        <w:pStyle w:val="Heading2"/>
      </w:pPr>
      <w:r>
        <w:t xml:space="preserve">7. Accepted risks with sign-off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review</w:t>
            </w:r>
          </w:p>
        </w:tc>
      </w:tr>
    </w:tbl>
    <w:bookmarkEnd w:id="26"/>
    <w:bookmarkStart w:id="27" w:name="changes-since-the-last-assessment"/>
    <w:p>
      <w:pPr>
        <w:pStyle w:val="Heading2"/>
      </w:pPr>
      <w:r>
        <w:t xml:space="preserve">8. Changes since the last assessment</w:t>
      </w:r>
    </w:p>
    <w:p>
      <w:pPr>
        <w:pStyle w:val="FirstParagraph"/>
      </w:pPr>
      <w:r>
        <w:t xml:space="preserve">New, closed and re-scored risks, and the events that triggered changes.</w:t>
      </w:r>
    </w:p>
    <w:bookmarkEnd w:id="27"/>
    <w:bookmarkStart w:id="28" w:name="next-review-date"/>
    <w:p>
      <w:pPr>
        <w:pStyle w:val="Heading2"/>
      </w:pPr>
      <w:r>
        <w:t xml:space="preserve">9. Next review date</w:t>
      </w:r>
    </w:p>
    <w:p>
      <w:pPr>
        <w:pStyle w:val="FirstParagraph"/>
      </w:pPr>
      <w:r>
        <w:t xml:space="preserve">[date, no later than 12 months from this report, or sooner on a trigger event]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2026-10-28T00:52:42Z</dcterms:created>
  <dcterms:modified xsi:type="dcterms:W3CDTF">2026-10-28T00:52:42Z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