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31f6868aa0bcb6fb66536881c820fb54c357cf0"/>
    <w:p>
      <w:pPr>
        <w:pStyle w:val="Heading1"/>
      </w:pPr>
      <w:r>
        <w:t xml:space="preserve">AICPA SOC 2 System Description Template - Complete Reference (Bullet Points)</w:t>
      </w:r>
    </w:p>
    <w:p>
      <w:pPr>
        <w:pStyle w:val="BlockText"/>
      </w:pPr>
      <w:r>
        <w:rPr>
          <w:bCs/>
          <w:b/>
        </w:rPr>
        <w:t xml:space="preserve">Use this bullet-point template</w:t>
      </w:r>
      <w:r>
        <w:t xml:space="preserve"> </w:t>
      </w:r>
      <w:r>
        <w:t xml:space="preserve">- copy into your document editor, fill in each section, attach diagrams as appendices. Follows the AICPA SOC 2 Guide structure exactly.</w:t>
      </w:r>
    </w:p>
    <w:p>
      <w:r>
        <w:pict>
          <v:rect style="width:0;height:1.5pt" o:hralign="center" o:hrstd="t" o:hr="t"/>
        </w:pict>
      </w:r>
    </w:p>
    <w:bookmarkStart w:id="24" w:name="section-1-system-overview"/>
    <w:p>
      <w:pPr>
        <w:pStyle w:val="Heading2"/>
      </w:pPr>
      <w:r>
        <w:t xml:space="preserve">Section 1: System Overview</w:t>
      </w:r>
    </w:p>
    <w:bookmarkStart w:id="20" w:name="organization-background"/>
    <w:p>
      <w:pPr>
        <w:pStyle w:val="Heading3"/>
      </w:pPr>
      <w:r>
        <w:t xml:space="preserve">1.1 Organization Background</w:t>
      </w:r>
    </w:p>
    <w:p>
      <w:pPr>
        <w:numPr>
          <w:ilvl w:val="0"/>
          <w:numId w:val="1001"/>
        </w:numPr>
        <w:pStyle w:val="Compact"/>
      </w:pPr>
      <w:r>
        <w:t xml:space="preserve">Organization legal name:</w:t>
      </w:r>
    </w:p>
    <w:p>
      <w:pPr>
        <w:numPr>
          <w:ilvl w:val="0"/>
          <w:numId w:val="1001"/>
        </w:numPr>
        <w:pStyle w:val="Compact"/>
      </w:pPr>
      <w:r>
        <w:t xml:space="preserve">DBA/trade name (if different):</w:t>
      </w:r>
    </w:p>
    <w:p>
      <w:pPr>
        <w:numPr>
          <w:ilvl w:val="0"/>
          <w:numId w:val="1001"/>
        </w:numPr>
        <w:pStyle w:val="Compact"/>
      </w:pPr>
      <w:r>
        <w:t xml:space="preserve">Headquarters address:</w:t>
      </w:r>
    </w:p>
    <w:p>
      <w:pPr>
        <w:numPr>
          <w:ilvl w:val="0"/>
          <w:numId w:val="1001"/>
        </w:numPr>
        <w:pStyle w:val="Compact"/>
      </w:pPr>
      <w:r>
        <w:t xml:space="preserve">Year founded:</w:t>
      </w:r>
    </w:p>
    <w:p>
      <w:pPr>
        <w:numPr>
          <w:ilvl w:val="0"/>
          <w:numId w:val="1001"/>
        </w:numPr>
        <w:pStyle w:val="Compact"/>
      </w:pPr>
      <w:r>
        <w:t xml:space="preserve">Ownership structure (public/private/parent company):</w:t>
      </w:r>
    </w:p>
    <w:p>
      <w:pPr>
        <w:numPr>
          <w:ilvl w:val="0"/>
          <w:numId w:val="1001"/>
        </w:numPr>
        <w:pStyle w:val="Compact"/>
      </w:pPr>
      <w:r>
        <w:t xml:space="preserve">Industry/NAICS code:</w:t>
      </w:r>
    </w:p>
    <w:p>
      <w:pPr>
        <w:numPr>
          <w:ilvl w:val="0"/>
          <w:numId w:val="1001"/>
        </w:numPr>
        <w:pStyle w:val="Compact"/>
      </w:pPr>
      <w:r>
        <w:t xml:space="preserve">Number of employees:</w:t>
      </w:r>
    </w:p>
    <w:bookmarkEnd w:id="20"/>
    <w:bookmarkStart w:id="21" w:name="services-provided"/>
    <w:p>
      <w:pPr>
        <w:pStyle w:val="Heading3"/>
      </w:pPr>
      <w:r>
        <w:t xml:space="preserve">1.2 Services Provided</w:t>
      </w:r>
    </w:p>
    <w:p>
      <w:pPr>
        <w:numPr>
          <w:ilvl w:val="0"/>
          <w:numId w:val="1002"/>
        </w:numPr>
        <w:pStyle w:val="Compact"/>
      </w:pPr>
      <w:r>
        <w:t xml:space="preserve">Primary service offerings:</w:t>
      </w:r>
    </w:p>
    <w:p>
      <w:pPr>
        <w:numPr>
          <w:ilvl w:val="0"/>
          <w:numId w:val="1002"/>
        </w:numPr>
        <w:pStyle w:val="Compact"/>
      </w:pPr>
      <w:r>
        <w:t xml:space="preserve">Service delivery model (SaaS / PaaS / IaaS / Managed Services):</w:t>
      </w:r>
    </w:p>
    <w:p>
      <w:pPr>
        <w:numPr>
          <w:ilvl w:val="0"/>
          <w:numId w:val="1002"/>
        </w:numPr>
        <w:pStyle w:val="Compact"/>
      </w:pPr>
      <w:r>
        <w:t xml:space="preserve">Geographic markets served:</w:t>
      </w:r>
    </w:p>
    <w:p>
      <w:pPr>
        <w:numPr>
          <w:ilvl w:val="0"/>
          <w:numId w:val="1002"/>
        </w:numPr>
        <w:pStyle w:val="Compact"/>
      </w:pPr>
      <w:r>
        <w:t xml:space="preserve">Key customers/segments:</w:t>
      </w:r>
    </w:p>
    <w:bookmarkEnd w:id="21"/>
    <w:bookmarkStart w:id="22" w:name="system-purpose-scope"/>
    <w:p>
      <w:pPr>
        <w:pStyle w:val="Heading3"/>
      </w:pPr>
      <w:r>
        <w:t xml:space="preserve">1.3 System Purpose &amp; Scope</w:t>
      </w:r>
    </w:p>
    <w:p>
      <w:pPr>
        <w:numPr>
          <w:ilvl w:val="0"/>
          <w:numId w:val="1003"/>
        </w:numPr>
        <w:pStyle w:val="Compact"/>
      </w:pPr>
      <w:r>
        <w:t xml:space="preserve">System name/identifier:</w:t>
      </w:r>
    </w:p>
    <w:p>
      <w:pPr>
        <w:numPr>
          <w:ilvl w:val="0"/>
          <w:numId w:val="1003"/>
        </w:numPr>
        <w:pStyle w:val="Compact"/>
      </w:pPr>
      <w:r>
        <w:t xml:space="preserve">System purpose:</w:t>
      </w:r>
    </w:p>
    <w:p>
      <w:pPr>
        <w:numPr>
          <w:ilvl w:val="0"/>
          <w:numId w:val="1003"/>
        </w:numPr>
        <w:pStyle w:val="Compact"/>
      </w:pPr>
      <w:r>
        <w:t xml:space="preserve">Boundaries (what’s IN scope):</w:t>
      </w:r>
    </w:p>
    <w:p>
      <w:pPr>
        <w:numPr>
          <w:ilvl w:val="0"/>
          <w:numId w:val="1003"/>
        </w:numPr>
        <w:pStyle w:val="Compact"/>
      </w:pPr>
      <w:r>
        <w:t xml:space="preserve">What’s OUT of scope (and why):</w:t>
      </w:r>
    </w:p>
    <w:p>
      <w:pPr>
        <w:numPr>
          <w:ilvl w:val="0"/>
          <w:numId w:val="1003"/>
        </w:numPr>
        <w:pStyle w:val="Compact"/>
      </w:pPr>
      <w:r>
        <w:t xml:space="preserve">Trust Services Criteria applicability:</w:t>
      </w:r>
    </w:p>
    <w:p>
      <w:pPr>
        <w:numPr>
          <w:ilvl w:val="1"/>
          <w:numId w:val="1004"/>
        </w:numPr>
        <w:pStyle w:val="Compact"/>
      </w:pPr>
      <w:r>
        <w:t xml:space="preserve">☐ Security (Common Criteria - REQUIRED)</w:t>
      </w:r>
    </w:p>
    <w:p>
      <w:pPr>
        <w:numPr>
          <w:ilvl w:val="1"/>
          <w:numId w:val="1004"/>
        </w:numPr>
        <w:pStyle w:val="Compact"/>
      </w:pPr>
      <w:r>
        <w:t xml:space="preserve">☐ Availability</w:t>
      </w:r>
    </w:p>
    <w:p>
      <w:pPr>
        <w:numPr>
          <w:ilvl w:val="1"/>
          <w:numId w:val="1004"/>
        </w:numPr>
        <w:pStyle w:val="Compact"/>
      </w:pPr>
      <w:r>
        <w:t xml:space="preserve">☐ Processing Integrity</w:t>
      </w:r>
    </w:p>
    <w:p>
      <w:pPr>
        <w:numPr>
          <w:ilvl w:val="1"/>
          <w:numId w:val="1004"/>
        </w:numPr>
        <w:pStyle w:val="Compact"/>
      </w:pPr>
      <w:r>
        <w:t xml:space="preserve">☐ Confidentiality</w:t>
      </w:r>
    </w:p>
    <w:p>
      <w:pPr>
        <w:numPr>
          <w:ilvl w:val="1"/>
          <w:numId w:val="1004"/>
        </w:numPr>
        <w:pStyle w:val="Compact"/>
      </w:pPr>
      <w:r>
        <w:t xml:space="preserve">☐ Privacy</w:t>
      </w:r>
    </w:p>
    <w:bookmarkEnd w:id="22"/>
    <w:bookmarkStart w:id="23" w:name="X9aed5021d02809ea7e949bf88ddefa3ba36a043"/>
    <w:p>
      <w:pPr>
        <w:pStyle w:val="Heading3"/>
      </w:pPr>
      <w:r>
        <w:t xml:space="preserve">1.4 Principal Service Commitments &amp; System Requirements</w:t>
      </w:r>
    </w:p>
    <w:p>
      <w:pPr>
        <w:numPr>
          <w:ilvl w:val="0"/>
          <w:numId w:val="1005"/>
        </w:numPr>
        <w:pStyle w:val="Compact"/>
      </w:pPr>
      <w:r>
        <w:t xml:space="preserve">Contractual commitments to customers (SLAs, uptime, response times):</w:t>
      </w:r>
    </w:p>
    <w:p>
      <w:pPr>
        <w:numPr>
          <w:ilvl w:val="0"/>
          <w:numId w:val="1005"/>
        </w:numPr>
        <w:pStyle w:val="Compact"/>
      </w:pPr>
      <w:r>
        <w:t xml:space="preserve">Regulatory/legal requirements (GDPR, HIPAA, PCI-DSS, etc.):</w:t>
      </w:r>
    </w:p>
    <w:p>
      <w:pPr>
        <w:numPr>
          <w:ilvl w:val="0"/>
          <w:numId w:val="1005"/>
        </w:numPr>
        <w:pStyle w:val="Compact"/>
      </w:pPr>
      <w:r>
        <w:t xml:space="preserve">Industry standards adopted (ISO 27001, NIST CSF, etc.):</w:t>
      </w:r>
    </w:p>
    <w:p>
      <w:pPr>
        <w:numPr>
          <w:ilvl w:val="0"/>
          <w:numId w:val="1005"/>
        </w:numPr>
        <w:pStyle w:val="Compact"/>
      </w:pPr>
      <w:r>
        <w:t xml:space="preserve">Internal policies driving system requirements: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section-2-system-components"/>
    <w:p>
      <w:pPr>
        <w:pStyle w:val="Heading2"/>
      </w:pPr>
      <w:r>
        <w:t xml:space="preserve">Section 2: System Components</w:t>
      </w:r>
    </w:p>
    <w:bookmarkStart w:id="25" w:name="infrastructure"/>
    <w:p>
      <w:pPr>
        <w:pStyle w:val="Heading3"/>
      </w:pPr>
      <w:r>
        <w:t xml:space="preserve">2.1 Infrastructure</w:t>
      </w:r>
    </w:p>
    <w:p>
      <w:pPr>
        <w:numPr>
          <w:ilvl w:val="0"/>
          <w:numId w:val="1006"/>
        </w:numPr>
        <w:pStyle w:val="Compact"/>
      </w:pPr>
      <w:r>
        <w:t xml:space="preserve">Cloud provider(s): AWS / Azure / GCP / Alibaba / On-prem</w:t>
      </w:r>
    </w:p>
    <w:p>
      <w:pPr>
        <w:numPr>
          <w:ilvl w:val="0"/>
          <w:numId w:val="1006"/>
        </w:numPr>
        <w:pStyle w:val="Compact"/>
      </w:pPr>
      <w:r>
        <w:t xml:space="preserve">Regions/AZs used:</w:t>
      </w:r>
    </w:p>
    <w:p>
      <w:pPr>
        <w:numPr>
          <w:ilvl w:val="0"/>
          <w:numId w:val="1006"/>
        </w:numPr>
        <w:pStyle w:val="Compact"/>
      </w:pPr>
      <w:r>
        <w:t xml:space="preserve">VPC/VNet architecture:</w:t>
      </w:r>
    </w:p>
    <w:p>
      <w:pPr>
        <w:numPr>
          <w:ilvl w:val="0"/>
          <w:numId w:val="1006"/>
        </w:numPr>
        <w:pStyle w:val="Compact"/>
      </w:pPr>
      <w:r>
        <w:t xml:space="preserve">Compute (EC2 / VMs / Containers / Serverless):</w:t>
      </w:r>
    </w:p>
    <w:p>
      <w:pPr>
        <w:numPr>
          <w:ilvl w:val="0"/>
          <w:numId w:val="1006"/>
        </w:numPr>
        <w:pStyle w:val="Compact"/>
      </w:pPr>
      <w:r>
        <w:t xml:space="preserve">Databases (RDS / Azure SQL / Cloud SQL / DynamoDB / CosmosDB):</w:t>
      </w:r>
    </w:p>
    <w:p>
      <w:pPr>
        <w:numPr>
          <w:ilvl w:val="0"/>
          <w:numId w:val="1006"/>
        </w:numPr>
        <w:pStyle w:val="Compact"/>
      </w:pPr>
      <w:r>
        <w:t xml:space="preserve">Storage (S3 / Blob / GCS / Block storage):</w:t>
      </w:r>
    </w:p>
    <w:p>
      <w:pPr>
        <w:numPr>
          <w:ilvl w:val="0"/>
          <w:numId w:val="1006"/>
        </w:numPr>
        <w:pStyle w:val="Compact"/>
      </w:pPr>
      <w:r>
        <w:t xml:space="preserve">Network (Load balancers, CDN, DNS, VPN / Direct Connect):</w:t>
      </w:r>
    </w:p>
    <w:p>
      <w:pPr>
        <w:numPr>
          <w:ilvl w:val="0"/>
          <w:numId w:val="1006"/>
        </w:numPr>
        <w:pStyle w:val="Compact"/>
      </w:pPr>
      <w:r>
        <w:t xml:space="preserve">Security services (WAF, Shield, GuardDuty, Security Center, etc.):</w:t>
      </w:r>
    </w:p>
    <w:bookmarkEnd w:id="25"/>
    <w:bookmarkStart w:id="26" w:name="software"/>
    <w:p>
      <w:pPr>
        <w:pStyle w:val="Heading3"/>
      </w:pPr>
      <w:r>
        <w:t xml:space="preserve">2.2 Software</w:t>
      </w:r>
    </w:p>
    <w:p>
      <w:pPr>
        <w:numPr>
          <w:ilvl w:val="0"/>
          <w:numId w:val="1007"/>
        </w:numPr>
        <w:pStyle w:val="Compact"/>
      </w:pPr>
      <w:r>
        <w:t xml:space="preserve">Application stack (languages, frameworks, versions):</w:t>
      </w:r>
    </w:p>
    <w:p>
      <w:pPr>
        <w:numPr>
          <w:ilvl w:val="0"/>
          <w:numId w:val="1007"/>
        </w:numPr>
        <w:pStyle w:val="Compact"/>
      </w:pPr>
      <w:r>
        <w:t xml:space="preserve">Key third-party libraries / SaaS dependencies:</w:t>
      </w:r>
    </w:p>
    <w:p>
      <w:pPr>
        <w:numPr>
          <w:ilvl w:val="0"/>
          <w:numId w:val="1007"/>
        </w:numPr>
        <w:pStyle w:val="Compact"/>
      </w:pPr>
      <w:r>
        <w:t xml:space="preserve">CI/CD pipeline (GitHub Actions / GitLab CI / Azure DevOps / CodePipeline):</w:t>
      </w:r>
    </w:p>
    <w:p>
      <w:pPr>
        <w:numPr>
          <w:ilvl w:val="0"/>
          <w:numId w:val="1007"/>
        </w:numPr>
        <w:pStyle w:val="Compact"/>
      </w:pPr>
      <w:r>
        <w:t xml:space="preserve">Infrastructure as Code (Terraform / CloudFormation / CDK / Pulumi):</w:t>
      </w:r>
    </w:p>
    <w:p>
      <w:pPr>
        <w:numPr>
          <w:ilvl w:val="0"/>
          <w:numId w:val="1007"/>
        </w:numPr>
        <w:pStyle w:val="Compact"/>
      </w:pPr>
      <w:r>
        <w:t xml:space="preserve">Monitoring / Observability stack:</w:t>
      </w:r>
    </w:p>
    <w:bookmarkEnd w:id="26"/>
    <w:bookmarkStart w:id="27" w:name="people"/>
    <w:p>
      <w:pPr>
        <w:pStyle w:val="Heading3"/>
      </w:pPr>
      <w:r>
        <w:t xml:space="preserve">2.3 People</w:t>
      </w:r>
    </w:p>
    <w:p>
      <w:pPr>
        <w:numPr>
          <w:ilvl w:val="0"/>
          <w:numId w:val="1008"/>
        </w:numPr>
        <w:pStyle w:val="Compact"/>
      </w:pPr>
      <w:r>
        <w:t xml:space="preserve">Organizational chart (roles relevant to system):</w:t>
      </w:r>
    </w:p>
    <w:p>
      <w:pPr>
        <w:numPr>
          <w:ilvl w:val="0"/>
          <w:numId w:val="1008"/>
        </w:numPr>
        <w:pStyle w:val="Compact"/>
      </w:pPr>
      <w:r>
        <w:t xml:space="preserve">Key personnel (Security Officer, CTO, DPO, System Owners):</w:t>
      </w:r>
    </w:p>
    <w:p>
      <w:pPr>
        <w:numPr>
          <w:ilvl w:val="0"/>
          <w:numId w:val="1008"/>
        </w:numPr>
        <w:pStyle w:val="Compact"/>
      </w:pPr>
      <w:r>
        <w:t xml:space="preserve">Background check requirements:</w:t>
      </w:r>
    </w:p>
    <w:p>
      <w:pPr>
        <w:numPr>
          <w:ilvl w:val="0"/>
          <w:numId w:val="1008"/>
        </w:numPr>
        <w:pStyle w:val="Compact"/>
      </w:pPr>
      <w:r>
        <w:t xml:space="preserve">Security training program:</w:t>
      </w:r>
    </w:p>
    <w:p>
      <w:pPr>
        <w:numPr>
          <w:ilvl w:val="0"/>
          <w:numId w:val="1008"/>
        </w:numPr>
        <w:pStyle w:val="Compact"/>
      </w:pPr>
      <w:r>
        <w:t xml:space="preserve">Onboarding / offboarding procedures:</w:t>
      </w:r>
    </w:p>
    <w:bookmarkEnd w:id="27"/>
    <w:bookmarkStart w:id="28" w:name="procedures"/>
    <w:p>
      <w:pPr>
        <w:pStyle w:val="Heading3"/>
      </w:pPr>
      <w:r>
        <w:t xml:space="preserve">2.4 Procedures</w:t>
      </w:r>
    </w:p>
    <w:p>
      <w:pPr>
        <w:numPr>
          <w:ilvl w:val="0"/>
          <w:numId w:val="1009"/>
        </w:numPr>
        <w:pStyle w:val="Compact"/>
      </w:pPr>
      <w:r>
        <w:t xml:space="preserve">Change management process:</w:t>
      </w:r>
    </w:p>
    <w:p>
      <w:pPr>
        <w:numPr>
          <w:ilvl w:val="0"/>
          <w:numId w:val="1009"/>
        </w:numPr>
        <w:pStyle w:val="Compact"/>
      </w:pPr>
      <w:r>
        <w:t xml:space="preserve">Incident response procedures:</w:t>
      </w:r>
    </w:p>
    <w:p>
      <w:pPr>
        <w:numPr>
          <w:ilvl w:val="0"/>
          <w:numId w:val="1009"/>
        </w:numPr>
        <w:pStyle w:val="Compact"/>
      </w:pPr>
      <w:r>
        <w:t xml:space="preserve">Access provisioning / deprovisioning:</w:t>
      </w:r>
    </w:p>
    <w:p>
      <w:pPr>
        <w:numPr>
          <w:ilvl w:val="0"/>
          <w:numId w:val="1009"/>
        </w:numPr>
        <w:pStyle w:val="Compact"/>
      </w:pPr>
      <w:r>
        <w:t xml:space="preserve">Backup &amp; recovery procedures:</w:t>
      </w:r>
    </w:p>
    <w:p>
      <w:pPr>
        <w:numPr>
          <w:ilvl w:val="0"/>
          <w:numId w:val="1009"/>
        </w:numPr>
        <w:pStyle w:val="Compact"/>
      </w:pPr>
      <w:r>
        <w:t xml:space="preserve">Vulnerability management:</w:t>
      </w:r>
    </w:p>
    <w:p>
      <w:pPr>
        <w:numPr>
          <w:ilvl w:val="0"/>
          <w:numId w:val="1009"/>
        </w:numPr>
        <w:pStyle w:val="Compact"/>
      </w:pPr>
      <w:r>
        <w:t xml:space="preserve">Capacity planning:</w:t>
      </w:r>
    </w:p>
    <w:bookmarkEnd w:id="28"/>
    <w:bookmarkStart w:id="29" w:name="data"/>
    <w:p>
      <w:pPr>
        <w:pStyle w:val="Heading3"/>
      </w:pPr>
      <w:r>
        <w:t xml:space="preserve">2.5 Data</w:t>
      </w:r>
    </w:p>
    <w:p>
      <w:pPr>
        <w:numPr>
          <w:ilvl w:val="0"/>
          <w:numId w:val="1010"/>
        </w:numPr>
        <w:pStyle w:val="Compact"/>
      </w:pPr>
      <w:r>
        <w:t xml:space="preserve">Data classification schema (Public / Internal / Confidential / Restricted):</w:t>
      </w:r>
    </w:p>
    <w:p>
      <w:pPr>
        <w:numPr>
          <w:ilvl w:val="0"/>
          <w:numId w:val="1010"/>
        </w:numPr>
        <w:pStyle w:val="Compact"/>
      </w:pPr>
      <w:r>
        <w:t xml:space="preserve">Data flow diagrams (ingress / egress / internal):</w:t>
      </w:r>
    </w:p>
    <w:p>
      <w:pPr>
        <w:numPr>
          <w:ilvl w:val="0"/>
          <w:numId w:val="1010"/>
        </w:numPr>
        <w:pStyle w:val="Compact"/>
      </w:pPr>
      <w:r>
        <w:t xml:space="preserve">Data retention schedules:</w:t>
      </w:r>
    </w:p>
    <w:p>
      <w:pPr>
        <w:numPr>
          <w:ilvl w:val="0"/>
          <w:numId w:val="1010"/>
        </w:numPr>
        <w:pStyle w:val="Compact"/>
      </w:pPr>
      <w:r>
        <w:t xml:space="preserve">Encryption (at rest: AES-256, in transit: TLS 1.3):</w:t>
      </w:r>
    </w:p>
    <w:p>
      <w:pPr>
        <w:numPr>
          <w:ilvl w:val="0"/>
          <w:numId w:val="1010"/>
        </w:numPr>
        <w:pStyle w:val="Compact"/>
      </w:pPr>
      <w:r>
        <w:t xml:space="preserve">Key management (KMS / HSM, rotation, access):</w:t>
      </w:r>
    </w:p>
    <w:p>
      <w:pPr>
        <w:numPr>
          <w:ilvl w:val="0"/>
          <w:numId w:val="1010"/>
        </w:numPr>
        <w:pStyle w:val="Compact"/>
      </w:pPr>
      <w:r>
        <w:t xml:space="preserve">Data backup &amp; recovery: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section-3-system-boundaries-interfaces"/>
    <w:p>
      <w:pPr>
        <w:pStyle w:val="Heading2"/>
      </w:pPr>
      <w:r>
        <w:t xml:space="preserve">Section 3: System Boundaries &amp; Interfaces</w:t>
      </w:r>
    </w:p>
    <w:bookmarkStart w:id="31" w:name="system-boundary-diagram"/>
    <w:p>
      <w:pPr>
        <w:pStyle w:val="Heading3"/>
      </w:pPr>
      <w:r>
        <w:t xml:space="preserve">3.1 System Boundary Diagram</w:t>
      </w:r>
    </w:p>
    <w:p>
      <w:pPr>
        <w:numPr>
          <w:ilvl w:val="0"/>
          <w:numId w:val="1011"/>
        </w:numPr>
        <w:pStyle w:val="Compact"/>
      </w:pPr>
      <w:r>
        <w:t xml:space="preserve">[Attach network diagram showing trust zones, DMZ, app tier, data tier]</w:t>
      </w:r>
    </w:p>
    <w:p>
      <w:pPr>
        <w:numPr>
          <w:ilvl w:val="0"/>
          <w:numId w:val="1011"/>
        </w:numPr>
        <w:pStyle w:val="Compact"/>
      </w:pPr>
      <w:r>
        <w:t xml:space="preserve">In-scope components (list):</w:t>
      </w:r>
    </w:p>
    <w:p>
      <w:pPr>
        <w:numPr>
          <w:ilvl w:val="0"/>
          <w:numId w:val="1011"/>
        </w:numPr>
        <w:pStyle w:val="Compact"/>
      </w:pPr>
      <w:r>
        <w:t xml:space="preserve">Out-of-scope components (list with justification):</w:t>
      </w:r>
    </w:p>
    <w:bookmarkEnd w:id="31"/>
    <w:bookmarkStart w:id="32" w:name="system-interfaces"/>
    <w:p>
      <w:pPr>
        <w:pStyle w:val="Heading3"/>
      </w:pPr>
      <w:r>
        <w:t xml:space="preserve">3.2 System Interfaces</w:t>
      </w:r>
    </w:p>
    <w:p>
      <w:pPr>
        <w:numPr>
          <w:ilvl w:val="0"/>
          <w:numId w:val="1012"/>
        </w:numPr>
        <w:pStyle w:val="Compact"/>
      </w:pPr>
      <w:r>
        <w:t xml:space="preserve">Customer-facing APIs (endpoints, auth, rate limits):</w:t>
      </w:r>
    </w:p>
    <w:p>
      <w:pPr>
        <w:numPr>
          <w:ilvl w:val="0"/>
          <w:numId w:val="1012"/>
        </w:numPr>
        <w:pStyle w:val="Compact"/>
      </w:pPr>
      <w:r>
        <w:t xml:space="preserve">Internal service-to-service APIs (mTLS, auth):</w:t>
      </w:r>
    </w:p>
    <w:p>
      <w:pPr>
        <w:numPr>
          <w:ilvl w:val="0"/>
          <w:numId w:val="1012"/>
        </w:numPr>
        <w:pStyle w:val="Compact"/>
      </w:pPr>
      <w:r>
        <w:t xml:space="preserve">Third-party integrations (vendor, name, data exchanged, auth):</w:t>
      </w:r>
    </w:p>
    <w:p>
      <w:pPr>
        <w:numPr>
          <w:ilvl w:val="0"/>
          <w:numId w:val="1012"/>
        </w:numPr>
        <w:pStyle w:val="Compact"/>
      </w:pPr>
      <w:r>
        <w:t xml:space="preserve">Data imports/exports (scheduled, ad-hoc, format, encryption):</w:t>
      </w:r>
    </w:p>
    <w:p>
      <w:pPr>
        <w:numPr>
          <w:ilvl w:val="0"/>
          <w:numId w:val="1012"/>
        </w:numPr>
        <w:pStyle w:val="Compact"/>
      </w:pPr>
      <w:r>
        <w:t xml:space="preserve">Human interfaces (admin console, user portal, support tools):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757ab26f292d3f4fb8d17232336b8b182d418f5"/>
    <w:p>
      <w:pPr>
        <w:pStyle w:val="Heading2"/>
      </w:pPr>
      <w:r>
        <w:t xml:space="preserve">Section 4: Complementary User Entity Controls (CUECs)</w:t>
      </w:r>
    </w:p>
    <w:bookmarkStart w:id="34" w:name="cuec-identification"/>
    <w:p>
      <w:pPr>
        <w:pStyle w:val="Heading3"/>
      </w:pPr>
      <w:r>
        <w:t xml:space="preserve">4.1 CUEC Identification</w:t>
      </w:r>
    </w:p>
    <w:p>
      <w:pPr>
        <w:numPr>
          <w:ilvl w:val="0"/>
          <w:numId w:val="1013"/>
        </w:numPr>
        <w:pStyle w:val="Compact"/>
      </w:pPr>
      <w:r>
        <w:t xml:space="preserve">For each Trust Services Criterion, identify controls the USER ENTITY must implement:</w:t>
      </w:r>
    </w:p>
    <w:p>
      <w:pPr>
        <w:pStyle w:val="FirstParagraph"/>
      </w:pPr>
      <w:r>
        <w:rPr>
          <w:bCs/>
          <w:b/>
        </w:rPr>
        <w:t xml:space="preserve">Example CUECs:</w:t>
      </w:r>
      <w:r>
        <w:br/>
      </w:r>
      <w:r>
        <w:t xml:space="preserve">- Security: Customer must enforce MFA for their users accessing the system</w:t>
      </w:r>
      <w:r>
        <w:br/>
      </w:r>
      <w:r>
        <w:t xml:space="preserve">- Security: Customer must review access quarterly</w:t>
      </w:r>
      <w:r>
        <w:br/>
      </w:r>
      <w:r>
        <w:t xml:space="preserve">- Availability: Customer must define their RTO/RPO requirements</w:t>
      </w:r>
      <w:r>
        <w:br/>
      </w:r>
      <w:r>
        <w:t xml:space="preserve">- Confidentiality: Customer must classify their data before upload</w:t>
      </w:r>
      <w:r>
        <w:br/>
      </w:r>
      <w:r>
        <w:t xml:space="preserve">- Privacy: Customer must obtain consent from data subjects</w:t>
      </w:r>
      <w:r>
        <w:br/>
      </w:r>
      <w:r>
        <w:t xml:space="preserve">- Processing Integrity: Customer must validate input data before submission</w:t>
      </w:r>
    </w:p>
    <w:bookmarkEnd w:id="34"/>
    <w:bookmarkStart w:id="35" w:name="cuec-communication"/>
    <w:p>
      <w:pPr>
        <w:pStyle w:val="Heading3"/>
      </w:pPr>
      <w:r>
        <w:t xml:space="preserve">4.2 CUEC Communication</w:t>
      </w:r>
    </w:p>
    <w:p>
      <w:pPr>
        <w:numPr>
          <w:ilvl w:val="0"/>
          <w:numId w:val="1014"/>
        </w:numPr>
        <w:pStyle w:val="Compact"/>
      </w:pPr>
      <w:r>
        <w:t xml:space="preserve">Where CUECs are communicated to customers (contract, portal, docs):</w:t>
      </w:r>
    </w:p>
    <w:p>
      <w:pPr>
        <w:numPr>
          <w:ilvl w:val="0"/>
          <w:numId w:val="1014"/>
        </w:numPr>
        <w:pStyle w:val="Compact"/>
      </w:pPr>
      <w:r>
        <w:t xml:space="preserve">How changes to CUECs are notified: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806b7165dd62d086255b0d2e5ea661609755c6f"/>
    <w:p>
      <w:pPr>
        <w:pStyle w:val="Heading2"/>
      </w:pPr>
      <w:r>
        <w:t xml:space="preserve">Section 5: Complementary Subservice Organization Controls (CSOCs)</w:t>
      </w:r>
    </w:p>
    <w:bookmarkStart w:id="37" w:name="subservice-organizations"/>
    <w:p>
      <w:pPr>
        <w:pStyle w:val="Heading3"/>
      </w:pPr>
      <w:r>
        <w:t xml:space="preserve">5.1 Subservice Organizations</w:t>
      </w:r>
    </w:p>
    <w:p>
      <w:pPr>
        <w:numPr>
          <w:ilvl w:val="0"/>
          <w:numId w:val="1015"/>
        </w:numPr>
        <w:pStyle w:val="Compact"/>
      </w:pPr>
      <w:r>
        <w:t xml:space="preserve">Subservice org 1 (e.g., AWS): Controls inherited (physical security, network, hypervisor)</w:t>
      </w:r>
    </w:p>
    <w:p>
      <w:pPr>
        <w:numPr>
          <w:ilvl w:val="0"/>
          <w:numId w:val="1015"/>
        </w:numPr>
        <w:pStyle w:val="Compact"/>
      </w:pPr>
      <w:r>
        <w:t xml:space="preserve">Subservice org 2 (e.g., Stripe): Payment processing controls</w:t>
      </w:r>
    </w:p>
    <w:p>
      <w:pPr>
        <w:numPr>
          <w:ilvl w:val="0"/>
          <w:numId w:val="1015"/>
        </w:numPr>
        <w:pStyle w:val="Compact"/>
      </w:pPr>
      <w:r>
        <w:t xml:space="preserve">Subservice org 3 (e.g., SendGrid): Email delivery controls</w:t>
      </w:r>
    </w:p>
    <w:p>
      <w:pPr>
        <w:numPr>
          <w:ilvl w:val="0"/>
          <w:numId w:val="1015"/>
        </w:numPr>
        <w:pStyle w:val="Compact"/>
      </w:pPr>
      <w:r>
        <w:t xml:space="preserve">Subservice org 4 (e.g., Auth0): Identity management controls</w:t>
      </w:r>
    </w:p>
    <w:bookmarkEnd w:id="37"/>
    <w:bookmarkStart w:id="38" w:name="csoc-monitoring"/>
    <w:p>
      <w:pPr>
        <w:pStyle w:val="Heading3"/>
      </w:pPr>
      <w:r>
        <w:t xml:space="preserve">5.2 CSOC Monitoring</w:t>
      </w:r>
    </w:p>
    <w:p>
      <w:pPr>
        <w:numPr>
          <w:ilvl w:val="0"/>
          <w:numId w:val="1016"/>
        </w:numPr>
        <w:pStyle w:val="Compact"/>
      </w:pPr>
      <w:r>
        <w:t xml:space="preserve">How you monitor subservice org compliance (SOC 2 reports reviewed annually):</w:t>
      </w:r>
    </w:p>
    <w:p>
      <w:pPr>
        <w:numPr>
          <w:ilvl w:val="0"/>
          <w:numId w:val="1016"/>
        </w:numPr>
        <w:pStyle w:val="Compact"/>
      </w:pPr>
      <w:r>
        <w:t xml:space="preserve">Carve-out vs. inclusive method for each subservice org: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section-6-control-environment"/>
    <w:p>
      <w:pPr>
        <w:pStyle w:val="Heading2"/>
      </w:pPr>
      <w:r>
        <w:t xml:space="preserve">Section 6: Control Environment</w:t>
      </w:r>
    </w:p>
    <w:bookmarkStart w:id="40" w:name="organization-governance"/>
    <w:p>
      <w:pPr>
        <w:pStyle w:val="Heading3"/>
      </w:pPr>
      <w:r>
        <w:t xml:space="preserve">6.1 Organization &amp; Governance</w:t>
      </w:r>
    </w:p>
    <w:p>
      <w:pPr>
        <w:numPr>
          <w:ilvl w:val="0"/>
          <w:numId w:val="1017"/>
        </w:numPr>
        <w:pStyle w:val="Compact"/>
      </w:pPr>
      <w:r>
        <w:t xml:space="preserve">Tone at the top / management philosophy:</w:t>
      </w:r>
    </w:p>
    <w:p>
      <w:pPr>
        <w:numPr>
          <w:ilvl w:val="0"/>
          <w:numId w:val="1017"/>
        </w:numPr>
        <w:pStyle w:val="Compact"/>
      </w:pPr>
      <w:r>
        <w:t xml:space="preserve">Board / Audit committee oversight:</w:t>
      </w:r>
    </w:p>
    <w:p>
      <w:pPr>
        <w:numPr>
          <w:ilvl w:val="0"/>
          <w:numId w:val="1017"/>
        </w:numPr>
        <w:pStyle w:val="Compact"/>
      </w:pPr>
      <w:r>
        <w:t xml:space="preserve">Organizational structure for security/privacy:</w:t>
      </w:r>
    </w:p>
    <w:bookmarkEnd w:id="40"/>
    <w:bookmarkStart w:id="41" w:name="risk-assessment-process"/>
    <w:p>
      <w:pPr>
        <w:pStyle w:val="Heading3"/>
      </w:pPr>
      <w:r>
        <w:t xml:space="preserve">6.2 Risk Assessment Process</w:t>
      </w:r>
    </w:p>
    <w:p>
      <w:pPr>
        <w:numPr>
          <w:ilvl w:val="0"/>
          <w:numId w:val="1018"/>
        </w:numPr>
        <w:pStyle w:val="Compact"/>
      </w:pPr>
      <w:r>
        <w:t xml:space="preserve">Risk assessment methodology (annual, triggers):</w:t>
      </w:r>
    </w:p>
    <w:p>
      <w:pPr>
        <w:numPr>
          <w:ilvl w:val="0"/>
          <w:numId w:val="1018"/>
        </w:numPr>
        <w:pStyle w:val="Compact"/>
      </w:pPr>
      <w:r>
        <w:t xml:space="preserve">Risk appetite / tolerance:</w:t>
      </w:r>
    </w:p>
    <w:p>
      <w:pPr>
        <w:numPr>
          <w:ilvl w:val="0"/>
          <w:numId w:val="1018"/>
        </w:numPr>
        <w:pStyle w:val="Compact"/>
      </w:pPr>
      <w:r>
        <w:t xml:space="preserve">Risk register location:</w:t>
      </w:r>
    </w:p>
    <w:bookmarkEnd w:id="41"/>
    <w:bookmarkStart w:id="42" w:name="monitoring-activities"/>
    <w:p>
      <w:pPr>
        <w:pStyle w:val="Heading3"/>
      </w:pPr>
      <w:r>
        <w:t xml:space="preserve">6.3 Monitoring Activities</w:t>
      </w:r>
    </w:p>
    <w:p>
      <w:pPr>
        <w:numPr>
          <w:ilvl w:val="0"/>
          <w:numId w:val="1019"/>
        </w:numPr>
        <w:pStyle w:val="Compact"/>
      </w:pPr>
      <w:r>
        <w:t xml:space="preserve">Ongoing monitoring (SIEM, dashboards, reviews):</w:t>
      </w:r>
    </w:p>
    <w:p>
      <w:pPr>
        <w:numPr>
          <w:ilvl w:val="0"/>
          <w:numId w:val="1019"/>
        </w:numPr>
        <w:pStyle w:val="Compact"/>
      </w:pPr>
      <w:r>
        <w:t xml:space="preserve">Separate evaluations (internal audit, pen testing):</w:t>
      </w:r>
    </w:p>
    <w:p>
      <w:pPr>
        <w:numPr>
          <w:ilvl w:val="0"/>
          <w:numId w:val="1019"/>
        </w:numPr>
        <w:pStyle w:val="Compact"/>
      </w:pPr>
      <w:r>
        <w:t xml:space="preserve">Deficiency remediation tracking:</w:t>
      </w:r>
    </w:p>
    <w:bookmarkEnd w:id="42"/>
    <w:bookmarkStart w:id="43" w:name="information-communication"/>
    <w:p>
      <w:pPr>
        <w:pStyle w:val="Heading3"/>
      </w:pPr>
      <w:r>
        <w:t xml:space="preserve">6.4 Information &amp; Communication</w:t>
      </w:r>
    </w:p>
    <w:p>
      <w:pPr>
        <w:numPr>
          <w:ilvl w:val="0"/>
          <w:numId w:val="1020"/>
        </w:numPr>
        <w:pStyle w:val="Compact"/>
      </w:pPr>
      <w:r>
        <w:t xml:space="preserve">Policy repository &amp; version control:</w:t>
      </w:r>
    </w:p>
    <w:p>
      <w:pPr>
        <w:numPr>
          <w:ilvl w:val="0"/>
          <w:numId w:val="1020"/>
        </w:numPr>
        <w:pStyle w:val="Compact"/>
      </w:pPr>
      <w:r>
        <w:t xml:space="preserve">Security awareness training program:</w:t>
      </w:r>
    </w:p>
    <w:p>
      <w:pPr>
        <w:numPr>
          <w:ilvl w:val="0"/>
          <w:numId w:val="1020"/>
        </w:numPr>
        <w:pStyle w:val="Compact"/>
      </w:pPr>
      <w:r>
        <w:t xml:space="preserve">Whistleblower / ethics hotline: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ection-7-appendices"/>
    <w:p>
      <w:pPr>
        <w:pStyle w:val="Heading2"/>
      </w:pPr>
      <w:r>
        <w:t xml:space="preserve">Section 7: Appendices</w:t>
      </w:r>
    </w:p>
    <w:p>
      <w:pPr>
        <w:numPr>
          <w:ilvl w:val="0"/>
          <w:numId w:val="1021"/>
        </w:numPr>
        <w:pStyle w:val="Compact"/>
      </w:pPr>
      <w:r>
        <w:t xml:space="preserve">7.1 System Boundary Diagram (attach)</w:t>
      </w:r>
    </w:p>
    <w:p>
      <w:pPr>
        <w:numPr>
          <w:ilvl w:val="0"/>
          <w:numId w:val="1021"/>
        </w:numPr>
        <w:pStyle w:val="Compact"/>
      </w:pPr>
      <w:r>
        <w:t xml:space="preserve">7.2 Data Flow Diagram (attach)</w:t>
      </w:r>
    </w:p>
    <w:p>
      <w:pPr>
        <w:numPr>
          <w:ilvl w:val="0"/>
          <w:numId w:val="1021"/>
        </w:numPr>
        <w:pStyle w:val="Compact"/>
      </w:pPr>
      <w:r>
        <w:t xml:space="preserve">7.3 Network Architecture Diagram (attach)</w:t>
      </w:r>
    </w:p>
    <w:p>
      <w:pPr>
        <w:numPr>
          <w:ilvl w:val="0"/>
          <w:numId w:val="1021"/>
        </w:numPr>
        <w:pStyle w:val="Compact"/>
      </w:pPr>
      <w:r>
        <w:t xml:space="preserve">7.4 Subservice Organization List &amp; Carve-out / Inclusive Method</w:t>
      </w:r>
    </w:p>
    <w:p>
      <w:pPr>
        <w:numPr>
          <w:ilvl w:val="0"/>
          <w:numId w:val="1021"/>
        </w:numPr>
        <w:pStyle w:val="Compact"/>
      </w:pPr>
      <w:r>
        <w:t xml:space="preserve">7.5 CUEC List (complete)</w:t>
      </w:r>
    </w:p>
    <w:p>
      <w:pPr>
        <w:numPr>
          <w:ilvl w:val="0"/>
          <w:numId w:val="1021"/>
        </w:numPr>
        <w:pStyle w:val="Compact"/>
      </w:pPr>
      <w:r>
        <w:t xml:space="preserve">7.6 Key Management Inventory</w:t>
      </w:r>
    </w:p>
    <w:p>
      <w:pPr>
        <w:numPr>
          <w:ilvl w:val="0"/>
          <w:numId w:val="1021"/>
        </w:numPr>
        <w:pStyle w:val="Compact"/>
      </w:pPr>
      <w:r>
        <w:t xml:space="preserve">7.7 Glossary of Terms</w:t>
      </w:r>
    </w:p>
    <w:p>
      <w:r>
        <w:pict>
          <v:rect style="width:0;height:1.5pt" o:hralign="center" o:hrstd="t" o:hr="t"/>
        </w:pict>
      </w:r>
    </w:p>
    <w:bookmarkEnd w:id="45"/>
    <w:bookmarkStart w:id="46" w:name="x-instructions-for-completion"/>
    <w:p>
      <w:pPr>
        <w:pStyle w:val="Heading2"/>
      </w:pPr>
      <w:r>
        <w:t xml:space="preserve">[x] Instructions for Completion</w:t>
      </w:r>
    </w:p>
    <w:p>
      <w:pPr>
        <w:numPr>
          <w:ilvl w:val="0"/>
          <w:numId w:val="1022"/>
        </w:numPr>
        <w:pStyle w:val="Compact"/>
      </w:pPr>
      <w:r>
        <w:t xml:space="preserve">Copy this template to your document editor</w:t>
      </w:r>
    </w:p>
    <w:p>
      <w:pPr>
        <w:numPr>
          <w:ilvl w:val="0"/>
          <w:numId w:val="1022"/>
        </w:numPr>
        <w:pStyle w:val="Compact"/>
      </w:pPr>
      <w:r>
        <w:t xml:space="preserve">Complete ALL sections - auditors will verify each</w:t>
      </w:r>
    </w:p>
    <w:p>
      <w:pPr>
        <w:numPr>
          <w:ilvl w:val="0"/>
          <w:numId w:val="1022"/>
        </w:numPr>
        <w:pStyle w:val="Compact"/>
      </w:pPr>
      <w:r>
        <w:t xml:space="preserve">Attach diagrams as Appendix items (not inline)</w:t>
      </w:r>
    </w:p>
    <w:p>
      <w:pPr>
        <w:numPr>
          <w:ilvl w:val="0"/>
          <w:numId w:val="1022"/>
        </w:numPr>
        <w:pStyle w:val="Compact"/>
      </w:pPr>
      <w:r>
        <w:t xml:space="preserve">Have Security Lead and CTO review before auditor delivery</w:t>
      </w:r>
    </w:p>
    <w:p>
      <w:pPr>
        <w:numPr>
          <w:ilvl w:val="0"/>
          <w:numId w:val="1022"/>
        </w:numPr>
        <w:pStyle w:val="Compact"/>
      </w:pPr>
      <w:r>
        <w:t xml:space="preserve">Update annually or after material system changes</w:t>
      </w:r>
    </w:p>
    <w:p>
      <w:pPr>
        <w:numPr>
          <w:ilvl w:val="0"/>
          <w:numId w:val="1022"/>
        </w:numPr>
        <w:pStyle w:val="Compact"/>
      </w:pPr>
      <w:r>
        <w:t xml:space="preserve">Keep version history with change log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Template follows the AICPA SOC 2 Guide structure exactly. All sections are required for a complete System Description.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2026-10-28T00:52:42Z</dcterms:created>
  <dcterms:modified xsi:type="dcterms:W3CDTF">2026-10-28T00:52:42Z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