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5F10E51A" w:rsidR="000639D1" w:rsidRDefault="00000000">
      <w:pPr>
        <w:spacing w:after="240"/>
      </w:pPr>
      <w:r>
        <w:rPr>
          <w:rFonts w:ascii="Calibri" w:eastAsia="Calibri" w:hAnsi="Calibri" w:cs="Calibri"/>
          <w:b/>
          <w:bCs/>
          <w:color w:val="1E3A8A"/>
          <w:sz w:val="40"/>
          <w:szCs w:val="40"/>
        </w:rPr>
        <w:t>Employee Termination Checklist</w:t>
      </w:r>
    </w:p>
    <w:p w14:paraId="00000002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High-Level Process</w:t>
      </w:r>
    </w:p>
    <w:p w14:paraId="00000003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Head of People preps termination paperwork (e.g. termination agreement, reaffirmation of confidentiality and IP assignment, final expense report).</w:t>
      </w:r>
    </w:p>
    <w:p w14:paraId="00000004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Terminated employee is dismissed in Rippling - this is the trigger event; [GRC platform] syncs the termination from Rippling (typically within an hour) and opens the offboarding record.</w:t>
      </w:r>
    </w:p>
    <w:p w14:paraId="00000005" w14:textId="68570A19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Communicate to relevant stakeholders and identify hand-off plans, including reassignment of customer, court, and agency relationships and hand-off of open cases across</w:t>
      </w:r>
    </w:p>
    <w:p w14:paraId="00000006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Remove logical and physical access and retain evidence to show SLAs were met (see checklist below).</w:t>
      </w:r>
    </w:p>
    <w:p w14:paraId="00000007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Return hardware and sanitize as needed, including [GRC platform] agent removal (see [GRC platform] Offboarding below).</w:t>
      </w:r>
    </w:p>
    <w:p w14:paraId="00000008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Wrap up financial items (e.g. credit cards, last paycheck, 401K, equity).</w:t>
      </w:r>
    </w:p>
    <w:p w14:paraId="00000009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Confirm the offboarding record is marked complete in [GRC platform].</w:t>
      </w:r>
    </w:p>
    <w:p w14:paraId="0000000A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Systems Deactivation</w:t>
      </w:r>
    </w:p>
    <w:p w14:paraId="0000000B" w14:textId="77777777" w:rsidR="000639D1" w:rsidRDefault="00000000">
      <w:pPr>
        <w:spacing w:before="160" w:after="80"/>
      </w:pPr>
      <w:r>
        <w:rPr>
          <w:rFonts w:ascii="Calibri" w:eastAsia="Calibri" w:hAnsi="Calibri" w:cs="Calibri"/>
          <w:b/>
          <w:bCs/>
          <w:i/>
          <w:iCs/>
          <w:color w:val="1E3A8A"/>
        </w:rPr>
        <w:t>Logical Access to Systems - Responsible Parties: [Name] (CTO) &amp; System Owners</w:t>
      </w:r>
    </w:p>
    <w:p w14:paraId="0000000C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Identity Provider: </w:t>
      </w:r>
      <w:r>
        <w:rPr>
          <w:rFonts w:ascii="Calibri" w:eastAsia="Calibri" w:hAnsi="Calibri" w:cs="Calibri"/>
          <w:color w:val="1E293B"/>
          <w:sz w:val="21"/>
          <w:szCs w:val="21"/>
        </w:rPr>
        <w:t>Google Workspace (Identity Provider &amp; Email / Drive)</w:t>
      </w:r>
    </w:p>
    <w:p w14:paraId="0000000D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Version Control: </w:t>
      </w:r>
      <w:r>
        <w:rPr>
          <w:rFonts w:ascii="Calibri" w:eastAsia="Calibri" w:hAnsi="Calibri" w:cs="Calibri"/>
          <w:color w:val="1E293B"/>
          <w:sz w:val="21"/>
          <w:szCs w:val="21"/>
        </w:rPr>
        <w:t>GitHub (Source Code &amp; Version Control)</w:t>
      </w:r>
    </w:p>
    <w:p w14:paraId="0000000E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Cloud Infrastructure: </w:t>
      </w:r>
      <w:r>
        <w:rPr>
          <w:rFonts w:ascii="Calibri" w:eastAsia="Calibri" w:hAnsi="Calibri" w:cs="Calibri"/>
          <w:color w:val="1E293B"/>
          <w:sz w:val="21"/>
          <w:szCs w:val="21"/>
        </w:rPr>
        <w:t>Google Cloud Platform (GCP) &amp; Amazon Web Services (AWS)</w:t>
      </w:r>
    </w:p>
    <w:p w14:paraId="0000000F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HRIS: </w:t>
      </w:r>
      <w:r>
        <w:rPr>
          <w:rFonts w:ascii="Calibri" w:eastAsia="Calibri" w:hAnsi="Calibri" w:cs="Calibri"/>
          <w:color w:val="1E293B"/>
          <w:sz w:val="21"/>
          <w:szCs w:val="21"/>
        </w:rPr>
        <w:t>Rippling (HRIS &amp; Device Management)</w:t>
      </w:r>
    </w:p>
    <w:p w14:paraId="00000010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Task Trackers: </w:t>
      </w:r>
      <w:r>
        <w:rPr>
          <w:rFonts w:ascii="Calibri" w:eastAsia="Calibri" w:hAnsi="Calibri" w:cs="Calibri"/>
          <w:color w:val="1E293B"/>
          <w:sz w:val="21"/>
          <w:szCs w:val="21"/>
        </w:rPr>
        <w:t>Asana &amp; Jira</w:t>
      </w:r>
    </w:p>
    <w:p w14:paraId="00000011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Messaging &amp; Communications: </w:t>
      </w:r>
      <w:r>
        <w:rPr>
          <w:rFonts w:ascii="Calibri" w:eastAsia="Calibri" w:hAnsi="Calibri" w:cs="Calibri"/>
          <w:color w:val="1E293B"/>
          <w:sz w:val="21"/>
          <w:szCs w:val="21"/>
        </w:rPr>
        <w:t>Slack</w:t>
      </w:r>
    </w:p>
    <w:p w14:paraId="00000012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Data Warehousing &amp; Databases: 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Google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BigQuery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/ GCP Cloud SQL</w:t>
      </w:r>
    </w:p>
    <w:p w14:paraId="00000013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MDM &amp; Device Security: </w:t>
      </w:r>
      <w:r>
        <w:rPr>
          <w:rFonts w:ascii="Calibri" w:eastAsia="Calibri" w:hAnsi="Calibri" w:cs="Calibri"/>
          <w:color w:val="1E293B"/>
          <w:sz w:val="21"/>
          <w:szCs w:val="21"/>
        </w:rPr>
        <w:t>Rippling MDM / [GRC platform] Device Monitor</w:t>
      </w:r>
    </w:p>
    <w:p w14:paraId="00000014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Application Monitoring: </w:t>
      </w:r>
      <w:r>
        <w:rPr>
          <w:rFonts w:ascii="Calibri" w:eastAsia="Calibri" w:hAnsi="Calibri" w:cs="Calibri"/>
          <w:color w:val="1E293B"/>
          <w:sz w:val="21"/>
          <w:szCs w:val="21"/>
        </w:rPr>
        <w:t>Sentry</w:t>
      </w:r>
    </w:p>
    <w:p w14:paraId="00000015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MFA: </w:t>
      </w:r>
      <w:r>
        <w:rPr>
          <w:rFonts w:ascii="Calibri" w:eastAsia="Calibri" w:hAnsi="Calibri" w:cs="Calibri"/>
          <w:color w:val="1E293B"/>
          <w:sz w:val="21"/>
          <w:szCs w:val="21"/>
        </w:rPr>
        <w:t>Google Workspace 2-Step Verification (2SV)</w:t>
      </w:r>
    </w:p>
    <w:p w14:paraId="00000016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Compliance Platform: </w:t>
      </w:r>
      <w:r>
        <w:rPr>
          <w:rFonts w:ascii="Calibri" w:eastAsia="Calibri" w:hAnsi="Calibri" w:cs="Calibri"/>
          <w:color w:val="1E293B"/>
          <w:sz w:val="21"/>
          <w:szCs w:val="21"/>
        </w:rPr>
        <w:t>[GRC platform] (Console access)</w:t>
      </w:r>
    </w:p>
    <w:p w14:paraId="00000017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Access to PHI and Case Records: </w:t>
      </w:r>
      <w:r>
        <w:rPr>
          <w:rFonts w:ascii="Calibri" w:eastAsia="Calibri" w:hAnsi="Calibri" w:cs="Calibri"/>
          <w:color w:val="1E293B"/>
          <w:sz w:val="21"/>
          <w:szCs w:val="21"/>
        </w:rPr>
        <w:t>Revoke every role that grants access to youth, family, or case data. [Company] is HIPAA-compliant, so this is the highest-priority revocation and must be evidenced.</w:t>
      </w:r>
    </w:p>
    <w:p w14:paraId="00000018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Mobile App Distribution: </w:t>
      </w:r>
      <w:r>
        <w:rPr>
          <w:rFonts w:ascii="Calibri" w:eastAsia="Calibri" w:hAnsi="Calibri" w:cs="Calibri"/>
          <w:color w:val="1E293B"/>
          <w:sz w:val="21"/>
          <w:szCs w:val="21"/>
        </w:rPr>
        <w:t>Apple App Store Connect, Google Play Console</w:t>
      </w:r>
    </w:p>
    <w:p w14:paraId="00000019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Customer-Facing Systems: </w:t>
      </w:r>
      <w:r>
        <w:rPr>
          <w:rFonts w:ascii="Calibri" w:eastAsia="Calibri" w:hAnsi="Calibri" w:cs="Calibri"/>
          <w:color w:val="1E293B"/>
          <w:sz w:val="21"/>
          <w:szCs w:val="21"/>
        </w:rPr>
        <w:t>Support/ticketing, CRM (HubSpot), and any state or agency customer portals held.</w:t>
      </w:r>
    </w:p>
    <w:p w14:paraId="0000001A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Password Manager / Shared Credentials: </w:t>
      </w:r>
      <w:r>
        <w:rPr>
          <w:rFonts w:ascii="Calibri" w:eastAsia="Calibri" w:hAnsi="Calibri" w:cs="Calibri"/>
          <w:color w:val="1E293B"/>
          <w:sz w:val="21"/>
          <w:szCs w:val="21"/>
        </w:rPr>
        <w:t>Revoke vault access and rotate any shared secrets the employee could view.</w:t>
      </w:r>
    </w:p>
    <w:p w14:paraId="0000001B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>☐ Additional SaaS Applications: HubSpot, Notion, Zoom, Calendly, DocuSign, Anthropic, OpenAI, Dropbox, Figma, Loom, Twilio, SendGrid, A2 Hosting, [internal admin portal].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0000001C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Physical Access</w:t>
      </w:r>
    </w:p>
    <w:p w14:paraId="0000001D" w14:textId="77777777" w:rsidR="000639D1" w:rsidRDefault="00000000">
      <w:pPr>
        <w:spacing w:before="160" w:after="80"/>
      </w:pPr>
      <w:r>
        <w:rPr>
          <w:rFonts w:ascii="Calibri" w:eastAsia="Calibri" w:hAnsi="Calibri" w:cs="Calibri"/>
          <w:b/>
          <w:bCs/>
          <w:i/>
          <w:iCs/>
          <w:color w:val="1E3A8A"/>
        </w:rPr>
        <w:t>Responsible Parties: [Name] (Head of People) &amp; Office Management</w:t>
      </w:r>
    </w:p>
    <w:p w14:paraId="0000001E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Remove access to [office location].</w:t>
      </w:r>
    </w:p>
    <w:p w14:paraId="0000001F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Data Center Access: </w:t>
      </w:r>
      <w:r>
        <w:rPr>
          <w:rFonts w:ascii="Calibri" w:eastAsia="Calibri" w:hAnsi="Calibri" w:cs="Calibri"/>
          <w:color w:val="1E293B"/>
          <w:sz w:val="21"/>
          <w:szCs w:val="21"/>
        </w:rPr>
        <w:t>N/A - [Company] operates 100% cloud-hosted infrastructure on GCP/AWS and maintains no physical data centers.</w:t>
      </w:r>
    </w:p>
    <w:p w14:paraId="00000020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On-Premises Servers: </w:t>
      </w:r>
      <w:r>
        <w:rPr>
          <w:rFonts w:ascii="Calibri" w:eastAsia="Calibri" w:hAnsi="Calibri" w:cs="Calibri"/>
          <w:color w:val="1E293B"/>
          <w:sz w:val="21"/>
          <w:szCs w:val="21"/>
        </w:rPr>
        <w:t>N/A - [Company] maintains no on-premises servers; all infrastructure is cloud-native.</w:t>
      </w:r>
    </w:p>
    <w:p w14:paraId="00000021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Hardware</w:t>
      </w:r>
    </w:p>
    <w:p w14:paraId="00000022" w14:textId="77777777" w:rsidR="000639D1" w:rsidRDefault="00000000">
      <w:pPr>
        <w:spacing w:before="160" w:after="80"/>
      </w:pPr>
      <w:r>
        <w:rPr>
          <w:rFonts w:ascii="Calibri" w:eastAsia="Calibri" w:hAnsi="Calibri" w:cs="Calibri"/>
          <w:b/>
          <w:bCs/>
          <w:i/>
          <w:iCs/>
          <w:color w:val="1E3A8A"/>
        </w:rPr>
        <w:t>Responsible Parties: [Name] (Head of People) &amp; IT</w:t>
      </w:r>
    </w:p>
    <w:p w14:paraId="00000023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Collect Laptop.</w:t>
      </w:r>
    </w:p>
    <w:p w14:paraId="00000024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Collect Keyboard &amp; Mouse.</w:t>
      </w:r>
    </w:p>
    <w:p w14:paraId="00000025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Collect any other electronics (monitors, adapters, cables).</w:t>
      </w:r>
    </w:p>
    <w:p w14:paraId="00000026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Collect Office keys / keycards / badges.</w:t>
      </w:r>
    </w:p>
    <w:p w14:paraId="00000027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Stop [GRC platform] device monitoring for the returned device, then uninstall the [GRC platform] agent from the device.</w:t>
      </w:r>
    </w:p>
    <w:p w14:paraId="00000028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Wipe and sanitize the device; retain evidence that full-disk encryption was enabled at the time of return.</w:t>
      </w:r>
    </w:p>
    <w:p w14:paraId="00000029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[GRC platform] Offboarding &amp; Device Agent</w:t>
      </w:r>
    </w:p>
    <w:p w14:paraId="0000002A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Confirm the termination synced to [GRC platform] from Rippling or the identity provider. If the record did not sync, initiate offboarding manually in [GRC platform]. HRIS data takes priority over IdP status.</w:t>
      </w:r>
    </w:p>
    <w:p w14:paraId="0000002B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Review the accounts [GRC platform] surfaces: automatically deprovisioned,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manually-handled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, and systems flagged by group membership.</w:t>
      </w:r>
    </w:p>
    <w:p w14:paraId="0000002C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Assign a deprovisioning owner to each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manually-handled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 account. [GRC platform] defaults to the vendor's security owner - confirm the default is correct before accepting it.</w:t>
      </w:r>
    </w:p>
    <w:p w14:paraId="0000002D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Owners complete their tasks under Access &gt; Deprovisioning tasks and confirm each account is deprovisioned.</w:t>
      </w:r>
    </w:p>
    <w:p w14:paraId="0000002E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The [GRC platform] agent is required on every [Company]-managed endpoint. On termination, stop monitoring for the returned device in [GRC platform].</w:t>
      </w:r>
    </w:p>
    <w:p w14:paraId="0000002F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Uninstall the [GRC platform] agent from the device before it is wiped, decommissioned, or reissued. Removing a device in [GRC platform] only stops monitoring - it does not uninstall the agent.</w:t>
      </w:r>
    </w:p>
    <w:p w14:paraId="00000030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</w:rPr>
        <w:t xml:space="preserve">☐ </w:t>
      </w:r>
      <w:r>
        <w:rPr>
          <w:rFonts w:ascii="Calibri" w:eastAsia="Calibri" w:hAnsi="Calibri" w:cs="Calibri"/>
          <w:color w:val="1E293B"/>
          <w:sz w:val="21"/>
          <w:szCs w:val="21"/>
        </w:rPr>
        <w:t>Mark the record fully offboarded in [GRC platform] once all required tasks are complete.</w:t>
      </w:r>
    </w:p>
    <w:p w14:paraId="00000031" w14:textId="77777777" w:rsidR="000639D1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F4C81"/>
          <w:sz w:val="26"/>
          <w:szCs w:val="26"/>
        </w:rPr>
        <w:t>Evidence &amp; SLAs</w:t>
      </w:r>
    </w:p>
    <w:p w14:paraId="00000032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  <w:sz w:val="21"/>
          <w:szCs w:val="21"/>
        </w:rPr>
        <w:t xml:space="preserve">• </w:t>
      </w:r>
      <w:r>
        <w:rPr>
          <w:rFonts w:ascii="Calibri" w:eastAsia="Calibri" w:hAnsi="Calibri" w:cs="Calibri"/>
          <w:color w:val="1E293B"/>
          <w:sz w:val="21"/>
          <w:szCs w:val="21"/>
        </w:rPr>
        <w:t>Record the exact date and time of each access revocation.</w:t>
      </w:r>
    </w:p>
    <w:p w14:paraId="00000033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  <w:sz w:val="21"/>
          <w:szCs w:val="21"/>
        </w:rPr>
        <w:t xml:space="preserve">•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Target SLA: </w:t>
      </w:r>
      <w:r>
        <w:rPr>
          <w:rFonts w:ascii="Calibri" w:eastAsia="Calibri" w:hAnsi="Calibri" w:cs="Calibri"/>
          <w:color w:val="1E293B"/>
          <w:sz w:val="21"/>
          <w:szCs w:val="21"/>
        </w:rPr>
        <w:t>Privileged and PHI-bearing access revoked within 24 hours of termination effective time; all remaining system access revoked within 3 business days (72 hours).</w:t>
      </w:r>
    </w:p>
    <w:p w14:paraId="00000034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  <w:sz w:val="21"/>
          <w:szCs w:val="21"/>
        </w:rPr>
        <w:lastRenderedPageBreak/>
        <w:t xml:space="preserve">• </w:t>
      </w:r>
      <w:r>
        <w:rPr>
          <w:rFonts w:ascii="Calibri" w:eastAsia="Calibri" w:hAnsi="Calibri" w:cs="Calibri"/>
          <w:color w:val="1E293B"/>
          <w:sz w:val="21"/>
          <w:szCs w:val="21"/>
        </w:rPr>
        <w:t>Retain screenshots or system exports as evidence that the SLA was met - this is the required artifact for SOC 2 and HIPAA audits.</w:t>
      </w:r>
    </w:p>
    <w:p w14:paraId="00000035" w14:textId="77777777" w:rsidR="000639D1" w:rsidRDefault="00000000">
      <w:pPr>
        <w:spacing w:before="40" w:after="60"/>
        <w:ind w:left="360"/>
      </w:pPr>
      <w:r>
        <w:rPr>
          <w:rFonts w:ascii="Calibri" w:eastAsia="Calibri" w:hAnsi="Calibri" w:cs="Calibri"/>
          <w:b/>
          <w:bCs/>
          <w:color w:val="0F4C81"/>
          <w:sz w:val="21"/>
          <w:szCs w:val="21"/>
        </w:rPr>
        <w:t xml:space="preserve">• </w:t>
      </w:r>
      <w:r>
        <w:rPr>
          <w:rFonts w:ascii="Calibri" w:eastAsia="Calibri" w:hAnsi="Calibri" w:cs="Calibri"/>
          <w:color w:val="1E293B"/>
          <w:sz w:val="21"/>
          <w:szCs w:val="21"/>
        </w:rPr>
        <w:t>Attach the completed checklist and revocation evidence to the employee's offboarding record in [GRC platform] and Rippling.</w:t>
      </w:r>
    </w:p>
    <w:sectPr w:rsidR="000639D1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5762B260-A6D3-2842-A465-62076DCC3079}"/>
    <w:embedBold r:id="rId2" w:fontKey="{832F9098-097C-8B48-BFD5-C7829EAB0C69}"/>
    <w:embedItalic r:id="rId3" w:fontKey="{D2318E00-6030-B745-B982-252ED81A34D4}"/>
    <w:embedBoldItalic r:id="rId4" w:fontKey="{3E2502D3-11CD-7C4A-A55F-8935C1F8438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A26AFBD-575C-2C40-9F9C-ED5E04DFC5F7}"/>
    <w:embedBold r:id="rId6" w:fontKey="{6CA0158A-DB4E-6F44-9899-F5B7D126089C}"/>
    <w:embedItalic r:id="rId7" w:fontKey="{87065F42-6B2E-A844-8102-94EC02F37EFF}"/>
    <w:embedBoldItalic r:id="rId8" w:fontKey="{83CEA642-367C-4F42-833C-2AF3B992E4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22554D47-AFFC-D342-9307-8E17EECD24FC}"/>
    <w:embedBold r:id="rId10" w:fontKey="{FD9AEE53-087D-6D49-AC1C-49505EE1004B}"/>
    <w:embedItalic r:id="rId11" w:fontKey="{CA0D0922-31AB-4D47-810C-136887C95620}"/>
    <w:embedBoldItalic r:id="rId12" w:fontKey="{17624AD6-28F8-7D41-A741-10A2E1ED0B1A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13" w:fontKey="{6AF69345-BF0D-5046-A2F5-E27DE287CD08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770230"/>
    <w:multiLevelType w:val="multilevel"/>
    <w:tmpl w:val="2A58F37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16209830">
    <w:abstractNumId w:val="0"/>
  </w:num>
  <w:num w:numId="2" w16cid:durableId="170069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5901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4810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2181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7077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D1"/>
    <w:rsid w:val="000639D1"/>
    <w:rsid w:val="008E7F9E"/>
    <w:rsid w:val="00A9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88440"/>
  <w15:docId w15:val="{FB058553-7DEA-1F4E-BC8C-6EAB35B8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7OhAEDNKvOAIIkJrGS8+30dcQ==">CgMxLjA4AHIhMWUzSm5aZWJvU3NFSm1vMzJhbWxwU3BkS2Nkb0V2MTZW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2013-12-23T23:15:00Z</dcterms:created>
  <dcterms:modified xsi:type="dcterms:W3CDTF">2026-10-29T01:39:00Z</dcterms:modified>
  <dc:description/>
  <dc:title/>
  <dc:subject/>
  <cp:keywords/>
</cp:coreProperties>
</file>