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BUSINESS REQUIREMENTS DOCUMENT</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Project Name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 Detection System — Loan Applications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Version</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20 March 2026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Prepared By</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Solo Project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Approved By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Status</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Draft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Document ID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FDS-BRD-001</w:t>
            </w:r>
          </w:p>
        </w:tc>
      </w:tr>
    </w:tbl>
    <w:p>
      <w:pPr>
        <w:spacing w:before="60" w:after="60"/>
      </w:pPr>
      <w:r>
        <w:t xml:space="preserve"/>
      </w:r>
    </w:p>
    <w:p>
      <w:pPr>
        <w:spacing w:before="280" w:after="100"/>
      </w:pPr>
      <w:r>
        <w:rPr>
          <w:rFonts w:ascii="Arial" w:cs="Arial" w:eastAsia="Arial" w:hAnsi="Arial"/>
          <w:b/>
          <w:bCs/>
          <w:color w:val="000000"/>
          <w:sz w:val="22"/>
          <w:szCs w:val="22"/>
        </w:rPr>
        <w:t xml:space="preserve">1.  Executive Summary</w:t>
      </w:r>
    </w:p>
    <w:p>
      <w:pPr>
        <w:spacing w:before="60" w:after="60"/>
      </w:pPr>
      <w:r>
        <w:rPr>
          <w:rFonts w:ascii="Arial" w:cs="Arial" w:eastAsia="Arial" w:hAnsi="Arial"/>
          <w:color w:val="111111"/>
          <w:sz w:val="20"/>
          <w:szCs w:val="20"/>
        </w:rPr>
        <w:t xml:space="preserve">Loan fraud is a significant and growing financial risk for lending institutions. Fraudulent applicants exploit gaps in manual verification processes by submitting falsified income details, using stolen identities, and exhibiting patterns of rapid or unusual application behaviour that are difficult to detect at scale. This project addresses that problem by designing and deploying a supervised Machine Learning–based Fraud Detection System (FDS) integrated directly into the loan origination workflow.</w:t>
      </w:r>
    </w:p>
    <w:p>
      <w:pPr>
        <w:spacing w:before="60" w:after="60"/>
      </w:pPr>
      <w:r>
        <w:rPr>
          <w:rFonts w:ascii="Arial" w:cs="Arial" w:eastAsia="Arial" w:hAnsi="Arial"/>
          <w:color w:val="111111"/>
          <w:sz w:val="20"/>
          <w:szCs w:val="20"/>
        </w:rPr>
        <w:t xml:space="preserve">The system uses a labelled dataset of 10,000 historical loan applications (22.26% fraud prevalence) spanning 29 features — including credit score, payment behaviour, blacklist status, employment verification, and device information — to train a classification model capable of scoring each incoming application for fraud probability in real time. Applications above a defined risk threshold are automatically flagged for human review, while clean applications are processed without delay.</w:t>
      </w:r>
    </w:p>
    <w:p>
      <w:pPr>
        <w:spacing w:before="60" w:after="60"/>
      </w:pPr>
      <w:r>
        <w:rPr>
          <w:rFonts w:ascii="Arial" w:cs="Arial" w:eastAsia="Arial" w:hAnsi="Arial"/>
          <w:color w:val="111111"/>
          <w:sz w:val="20"/>
          <w:szCs w:val="20"/>
        </w:rPr>
        <w:t xml:space="preserve">The expected business outcome is a reduction in fraudulent loan disbursements of at least 30% within six months of deployment, a significant decrease in manual review workload, and full compliance with applicable data-protection and fair-lending regulations.</w:t>
      </w:r>
    </w:p>
    <w:p>
      <w:pPr>
        <w:spacing w:before="60" w:after="60"/>
      </w:pPr>
      <w:r>
        <w:t xml:space="preserve"/>
      </w:r>
    </w:p>
    <w:p>
      <w:pPr>
        <w:spacing w:before="280" w:after="100"/>
      </w:pPr>
      <w:r>
        <w:rPr>
          <w:rFonts w:ascii="Arial" w:cs="Arial" w:eastAsia="Arial" w:hAnsi="Arial"/>
          <w:b/>
          <w:bCs/>
          <w:color w:val="000000"/>
          <w:sz w:val="22"/>
          <w:szCs w:val="22"/>
        </w:rPr>
        <w:t xml:space="preserve">2.  Business Problem Statement</w:t>
      </w:r>
    </w:p>
    <w:p>
      <w:pPr>
        <w:spacing w:before="160" w:after="60"/>
      </w:pPr>
      <w:r>
        <w:rPr>
          <w:rFonts w:ascii="Arial" w:cs="Arial" w:eastAsia="Arial" w:hAnsi="Arial"/>
          <w:b/>
          <w:bCs/>
          <w:color w:val="000000"/>
          <w:sz w:val="20"/>
          <w:szCs w:val="20"/>
        </w:rPr>
        <w:t xml:space="preserve">Current State</w:t>
      </w:r>
    </w:p>
    <w:p>
      <w:pPr>
        <w:spacing w:before="60" w:after="60"/>
      </w:pPr>
      <w:r>
        <w:rPr>
          <w:rFonts w:ascii="Arial" w:cs="Arial" w:eastAsia="Arial" w:hAnsi="Arial"/>
          <w:color w:val="111111"/>
          <w:sz w:val="20"/>
          <w:szCs w:val="20"/>
        </w:rPr>
        <w:t xml:space="preserve">Loan applications are currently reviewed manually or through basic rule-based filters that rely on a small number of static criteria (e.g., credit score thresholds, income bands). This approach misses sophisticated fraud patterns that span multiple features simultaneously — such as an applicant with a high credit score but rapid application behaviour, unusual device information, and inconsistent data. Fraud investigators spend a large portion of their time reviewing applications that turn out to be legitimate, while genuinely fraudulent applications often pass through undetected. Fraud write-offs represent a material and growing financial loss.</w:t>
      </w:r>
    </w:p>
    <w:p>
      <w:pPr>
        <w:spacing w:before="160" w:after="60"/>
      </w:pPr>
      <w:r>
        <w:rPr>
          <w:rFonts w:ascii="Arial" w:cs="Arial" w:eastAsia="Arial" w:hAnsi="Arial"/>
          <w:b/>
          <w:bCs/>
          <w:color w:val="000000"/>
          <w:sz w:val="20"/>
          <w:szCs w:val="20"/>
        </w:rPr>
        <w:t xml:space="preserve">Desired State</w:t>
      </w:r>
    </w:p>
    <w:p>
      <w:pPr>
        <w:spacing w:before="60" w:after="60"/>
      </w:pPr>
      <w:r>
        <w:rPr>
          <w:rFonts w:ascii="Arial" w:cs="Arial" w:eastAsia="Arial" w:hAnsi="Arial"/>
          <w:color w:val="111111"/>
          <w:sz w:val="20"/>
          <w:szCs w:val="20"/>
        </w:rPr>
        <w:t xml:space="preserve">Every incoming loan application is automatically scored for fraud probability using a trained ML model before a final credit decision is made. High-risk applications are immediately flagged with an explainable risk summary for targeted human review. Low-risk applications move through the pipeline without unnecessary delay. The system continuously monitors for performance degradation and retrains automatically when needed.</w:t>
      </w:r>
    </w:p>
    <w:p>
      <w:pPr>
        <w:spacing w:before="160" w:after="60"/>
      </w:pPr>
      <w:r>
        <w:rPr>
          <w:rFonts w:ascii="Arial" w:cs="Arial" w:eastAsia="Arial" w:hAnsi="Arial"/>
          <w:b/>
          <w:bCs/>
          <w:color w:val="000000"/>
          <w:sz w:val="20"/>
          <w:szCs w:val="20"/>
        </w:rPr>
        <w:t xml:space="preserve">Gap</w:t>
      </w:r>
    </w:p>
    <w:p>
      <w:pPr>
        <w:spacing w:before="60" w:after="60"/>
      </w:pPr>
      <w:r>
        <w:rPr>
          <w:rFonts w:ascii="Arial" w:cs="Arial" w:eastAsia="Arial" w:hAnsi="Arial"/>
          <w:color w:val="111111"/>
          <w:sz w:val="20"/>
          <w:szCs w:val="20"/>
        </w:rPr>
        <w:t xml:space="preserve">The organisation currently lacks a data-driven, multi-feature fraud scoring capability integrated into the origination system. Building and deploying this capability — including model training, API integration, explainability tooling, and monitoring infrastructure — is the gap this project closes.</w:t>
      </w:r>
    </w:p>
    <w:p>
      <w:pPr>
        <w:spacing w:before="60" w:after="60"/>
      </w:pPr>
      <w:r>
        <w:t xml:space="preserve"/>
      </w:r>
    </w:p>
    <w:p>
      <w:pPr>
        <w:spacing w:before="280" w:after="100"/>
      </w:pPr>
      <w:r>
        <w:rPr>
          <w:rFonts w:ascii="Arial" w:cs="Arial" w:eastAsia="Arial" w:hAnsi="Arial"/>
          <w:b/>
          <w:bCs/>
          <w:color w:val="000000"/>
          <w:sz w:val="22"/>
          <w:szCs w:val="22"/>
        </w:rPr>
        <w:t xml:space="preserve">3.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4300"/>
      </w:tblGrid>
      <w:tr>
        <w:tc>
          <w:tcPr>
            <w:tcW w:type="dxa" w:w="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41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Objective</w:t>
            </w:r>
          </w:p>
        </w:tc>
        <w:tc>
          <w:tcPr>
            <w:tcW w:type="dxa" w:w="43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KPI / Target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BO-1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Reduce fraudulent loan approvals</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 detection rate (Recall) &gt;= 85% on holdout test set</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BO-2</w:t>
            </w:r>
          </w:p>
        </w:tc>
        <w:tc>
          <w:tcPr>
            <w:tcW w:type="dxa" w:w="4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Minimise false positives</w:t>
            </w:r>
          </w:p>
        </w:tc>
        <w:tc>
          <w:tcPr>
            <w:tcW w:type="dxa" w:w="4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False positive rate &lt;= 15%; Precision &gt;= 85%</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BO-3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Speed up fraud review process</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Average review turnaround time &lt; 2 hours per flagged application</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BO-4</w:t>
            </w:r>
          </w:p>
        </w:tc>
        <w:tc>
          <w:tcPr>
            <w:tcW w:type="dxa" w:w="4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Ensure regulatory and audit compliance</w:t>
            </w:r>
          </w:p>
        </w:tc>
        <w:tc>
          <w:tcPr>
            <w:tcW w:type="dxa" w:w="4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100% of decisions logged with explainable risk factors (SHAP)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BO-5</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Reduce overall fraud-related financial loss</w:t>
            </w:r>
          </w:p>
        </w:tc>
        <w:tc>
          <w:tcPr>
            <w:tcW w:type="dxa" w:w="4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Fraudulent disbursements reduced by &gt;= 30% within 6 months post-deployment</w:t>
            </w:r>
          </w:p>
        </w:tc>
      </w:tr>
    </w:tbl>
    <w:p>
      <w:pPr>
        <w:spacing w:before="60" w:after="60"/>
      </w:pPr>
      <w:r>
        <w:t xml:space="preserve"/>
      </w:r>
    </w:p>
    <w:p>
      <w:pPr>
        <w:spacing w:before="280" w:after="100"/>
      </w:pPr>
      <w:r>
        <w:rPr>
          <w:rFonts w:ascii="Arial" w:cs="Arial" w:eastAsia="Arial" w:hAnsi="Arial"/>
          <w:b/>
          <w:bCs/>
          <w:color w:val="000000"/>
          <w:sz w:val="22"/>
          <w:szCs w:val="22"/>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2400"/>
        <w:gridCol w:w="2600"/>
      </w:tblGrid>
      <w:tr>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Stakeholder</w:t>
            </w:r>
          </w:p>
        </w:tc>
        <w:tc>
          <w:tcPr>
            <w:tcW w:type="dxa" w:w="19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Role</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Type</w:t>
            </w:r>
          </w:p>
        </w:tc>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Interest / Concern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Project Owner / Author</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Developer &amp; Analyst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Solo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Full ownership — builds, tests, and delivers the system</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Academic Supervisor</w:t>
            </w:r>
          </w:p>
        </w:tc>
        <w:tc>
          <w:tcPr>
            <w:tcW w:type="dxa" w:w="1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Advisor / Reviewer</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External</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Guides scope, reviews deliverables, provides approval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Head of Risk (simulated)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Sponsor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Business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 loss reduction; defines acceptable risk thresholds</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Compliance Officer (sim.)</w:t>
            </w:r>
          </w:p>
        </w:tc>
        <w:tc>
          <w:tcPr>
            <w:tcW w:type="dxa" w:w="1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Reviewer</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Regulatory</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Ensures DPDP Act and RBI fair-lending guideline adherence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Loan Officers (sim.)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End Users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Operations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Receive fraud scores and flags; need clear guidance on actions</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IT / Data Team (sim.)</w:t>
            </w:r>
          </w:p>
        </w:tc>
        <w:tc>
          <w:tcPr>
            <w:tcW w:type="dxa" w:w="1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Implementers</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Technical</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API integration, infrastructure, and deployment support</w:t>
            </w:r>
          </w:p>
        </w:tc>
      </w:tr>
    </w:tbl>
    <w:p>
      <w:pPr>
        <w:spacing w:before="60" w:after="60"/>
      </w:pPr>
      <w:r>
        <w:t xml:space="preserve"/>
      </w:r>
    </w:p>
    <w:p>
      <w:pPr>
        <w:spacing w:before="280" w:after="100"/>
      </w:pPr>
      <w:r>
        <w:rPr>
          <w:rFonts w:ascii="Arial" w:cs="Arial" w:eastAsia="Arial" w:hAnsi="Arial"/>
          <w:b/>
          <w:bCs/>
          <w:color w:val="000000"/>
          <w:sz w:val="22"/>
          <w:szCs w:val="22"/>
        </w:rPr>
        <w:t xml:space="preserve">5.  Business Requirements</w:t>
      </w:r>
    </w:p>
    <w:p>
      <w:pPr>
        <w:spacing w:before="60" w:after="60"/>
      </w:pPr>
      <w:r>
        <w:rPr>
          <w:rFonts w:ascii="Arial" w:cs="Arial" w:eastAsia="Arial" w:hAnsi="Arial"/>
          <w:color w:val="111111"/>
          <w:sz w:val="20"/>
          <w:szCs w:val="20"/>
        </w:rPr>
        <w:t xml:space="preserve">Priority legend: Must Have = mandatory for go-live | Should Have = important but not blocking | Nice to Have = desirable if time permits.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1300"/>
        <w:gridCol w:w="1500"/>
        <w:gridCol w:w="1700"/>
      </w:tblGrid>
      <w:tr>
        <w:tc>
          <w:tcPr>
            <w:tcW w:type="dxa" w:w="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39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Requirement</w:t>
            </w:r>
          </w:p>
        </w:tc>
        <w:tc>
          <w:tcPr>
            <w:tcW w:type="dxa" w:w="13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Priority</w:t>
            </w:r>
          </w:p>
        </w:tc>
        <w:tc>
          <w:tcPr>
            <w:tcW w:type="dxa" w:w="1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Source</w:t>
            </w:r>
          </w:p>
        </w:tc>
        <w:tc>
          <w:tcPr>
            <w:tcW w:type="dxa" w:w="1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BR-01</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score each loan application for fraud probability in real time at point of submission.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Risk Management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ML model + API</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BR-02</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provide per-application explainability output listing the top contributing risk factors (SHAP values).</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Compliance</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SHAP integration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maintain a tamper-proof audit log of all scoring decisions, timestamps, and input features.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Compliance / Audit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Logging module</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BR-04</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auto-reject applications where the applicant appears on internal or regulatory blacklists.</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Risk Management</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Pre-scoring rule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trigger mandatory manual review for applications scoring above the defined fraud threshold (default: 0.75).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Operations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Flag &amp; queue logic</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BR-06</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process each application and return a score within 3 seconds under normal load.</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IT / Operations</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API performance SLA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BR-07</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expose a REST API (JSON) consumable by the existing Loan Origination System without UI changes.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IT Team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API design</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BR-08</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mask or exclude all PII fields before passing data into the model pipeline.</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Must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Compliance</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preprocessing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BR-09</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generate a weekly performance report covering fraud flag rate, false-positive rate, and model drift KPIs.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Should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Risk Management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Monitoring dashboard</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BR-10</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support model retraining on updated labelled data at least once per month.</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Should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Science</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MLOps pipeline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BR-11</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provide a confidence band alongside each fraud score to assist reviewer prioritisation.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Nice to Have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Operations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Score calibration</w:t>
            </w:r>
          </w:p>
        </w:tc>
      </w:tr>
      <w:tr>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8"/>
                <w:szCs w:val="18"/>
              </w:rPr>
              <w:t xml:space="preserve">BR-12</w:t>
            </w:r>
          </w:p>
        </w:tc>
        <w:tc>
          <w:tcPr>
            <w:tcW w:type="dxa" w:w="39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System shall support A/B testing of new model versions before full production rollout.</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Nice to Have</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Science</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Staged deployment</w:t>
            </w:r>
          </w:p>
        </w:tc>
      </w:tr>
    </w:tbl>
    <w:p>
      <w:pPr>
        <w:spacing w:before="60" w:after="60"/>
      </w:pPr>
      <w:r>
        <w:t xml:space="preserve"/>
      </w:r>
    </w:p>
    <w:p>
      <w:pPr>
        <w:spacing w:before="280" w:after="100"/>
      </w:pPr>
      <w:r>
        <w:rPr>
          <w:rFonts w:ascii="Arial" w:cs="Arial" w:eastAsia="Arial" w:hAnsi="Arial"/>
          <w:b/>
          <w:bCs/>
          <w:color w:val="000000"/>
          <w:sz w:val="22"/>
          <w:szCs w:val="22"/>
        </w:rPr>
        <w:t xml:space="preserve">6.  Business Rules</w:t>
      </w:r>
    </w:p>
    <w:p>
      <w:pPr>
        <w:pStyle w:val="ListParagraph"/>
        <w:numPr>
          <w:ilvl w:val="0"/>
          <w:numId w:val="2"/>
        </w:numPr>
        <w:spacing w:before="40" w:after="40"/>
      </w:pPr>
      <w:r>
        <w:rPr>
          <w:rFonts w:ascii="Arial" w:cs="Arial" w:eastAsia="Arial" w:hAnsi="Arial"/>
          <w:color w:val="111111"/>
          <w:sz w:val="20"/>
          <w:szCs w:val="20"/>
        </w:rPr>
        <w:t xml:space="preserve">BR-RULE-01: Any application where the applicant appears on an internal or external regulatory blacklist is automatically rejected before model scoring; no further review is required.</w:t>
      </w:r>
    </w:p>
    <w:p>
      <w:pPr>
        <w:pStyle w:val="ListParagraph"/>
        <w:numPr>
          <w:ilvl w:val="0"/>
          <w:numId w:val="2"/>
        </w:numPr>
        <w:spacing w:before="40" w:after="40"/>
      </w:pPr>
      <w:r>
        <w:rPr>
          <w:rFonts w:ascii="Arial" w:cs="Arial" w:eastAsia="Arial" w:hAnsi="Arial"/>
          <w:color w:val="111111"/>
          <w:sz w:val="20"/>
          <w:szCs w:val="20"/>
        </w:rPr>
        <w:t xml:space="preserve">BR-RULE-02: Any application receiving a fraud probability score &gt;= 0.75 is automatically flagged and routed to the manual review queue; it cannot be approved without a reviewer sign-off.</w:t>
      </w:r>
    </w:p>
    <w:p>
      <w:pPr>
        <w:pStyle w:val="ListParagraph"/>
        <w:numPr>
          <w:ilvl w:val="0"/>
          <w:numId w:val="2"/>
        </w:numPr>
        <w:spacing w:before="40" w:after="40"/>
      </w:pPr>
      <w:r>
        <w:rPr>
          <w:rFonts w:ascii="Arial" w:cs="Arial" w:eastAsia="Arial" w:hAnsi="Arial"/>
          <w:color w:val="111111"/>
          <w:sz w:val="20"/>
          <w:szCs w:val="20"/>
        </w:rPr>
        <w:t xml:space="preserve">BR-RULE-03: Any application receiving a fraud probability score between 0.50 and 0.74 is flagged as medium risk and surfaced to the loan officer with a risk summary; approval is permitted with documented justification.</w:t>
      </w:r>
    </w:p>
    <w:p>
      <w:pPr>
        <w:pStyle w:val="ListParagraph"/>
        <w:numPr>
          <w:ilvl w:val="0"/>
          <w:numId w:val="2"/>
        </w:numPr>
        <w:spacing w:before="40" w:after="40"/>
      </w:pPr>
      <w:r>
        <w:rPr>
          <w:rFonts w:ascii="Arial" w:cs="Arial" w:eastAsia="Arial" w:hAnsi="Arial"/>
          <w:color w:val="111111"/>
          <w:sz w:val="20"/>
          <w:szCs w:val="20"/>
        </w:rPr>
        <w:t xml:space="preserve">BR-RULE-04: Applications scoring below 0.50 are classified as low risk and proceed through the standard origination workflow without additional review steps.</w:t>
      </w:r>
    </w:p>
    <w:p>
      <w:pPr>
        <w:pStyle w:val="ListParagraph"/>
        <w:numPr>
          <w:ilvl w:val="0"/>
          <w:numId w:val="2"/>
        </w:numPr>
        <w:spacing w:before="40" w:after="40"/>
      </w:pPr>
      <w:r>
        <w:rPr>
          <w:rFonts w:ascii="Arial" w:cs="Arial" w:eastAsia="Arial" w:hAnsi="Arial"/>
          <w:color w:val="111111"/>
          <w:sz w:val="20"/>
          <w:szCs w:val="20"/>
        </w:rPr>
        <w:t xml:space="preserve">BR-RULE-05: All PII fields (Name, PAN Number, Contact Number, Email, Address) must be stripped from the input feature vector before it is passed to the model. Scoring must operate on anonymised or tokenised identifiers only.</w:t>
      </w:r>
    </w:p>
    <w:p>
      <w:pPr>
        <w:pStyle w:val="ListParagraph"/>
        <w:numPr>
          <w:ilvl w:val="0"/>
          <w:numId w:val="2"/>
        </w:numPr>
        <w:spacing w:before="40" w:after="40"/>
      </w:pPr>
      <w:r>
        <w:rPr>
          <w:rFonts w:ascii="Arial" w:cs="Arial" w:eastAsia="Arial" w:hAnsi="Arial"/>
          <w:color w:val="111111"/>
          <w:sz w:val="20"/>
          <w:szCs w:val="20"/>
        </w:rPr>
        <w:t xml:space="preserve">BR-RULE-06: If the scoring API fails to return a result within 10 seconds, the application must default to manual review; it must never be auto-approved on a system timeout.</w:t>
      </w:r>
    </w:p>
    <w:p>
      <w:pPr>
        <w:pStyle w:val="ListParagraph"/>
        <w:numPr>
          <w:ilvl w:val="0"/>
          <w:numId w:val="2"/>
        </w:numPr>
        <w:spacing w:before="40" w:after="40"/>
      </w:pPr>
      <w:r>
        <w:rPr>
          <w:rFonts w:ascii="Arial" w:cs="Arial" w:eastAsia="Arial" w:hAnsi="Arial"/>
          <w:color w:val="111111"/>
          <w:sz w:val="20"/>
          <w:szCs w:val="20"/>
        </w:rPr>
        <w:t xml:space="preserve">BR-RULE-07: All model decisions — including input features, score, decision label, and timestamp — must be written to the audit log within the same transaction as the scoring call.</w:t>
      </w:r>
    </w:p>
    <w:p>
      <w:pPr>
        <w:spacing w:before="60" w:after="60"/>
      </w:pPr>
      <w:r>
        <w:t xml:space="preserve"/>
      </w:r>
    </w:p>
    <w:p>
      <w:pPr>
        <w:spacing w:before="280" w:after="100"/>
      </w:pPr>
      <w:r>
        <w:rPr>
          <w:rFonts w:ascii="Arial" w:cs="Arial" w:eastAsia="Arial" w:hAnsi="Arial"/>
          <w:b/>
          <w:bCs/>
          <w:color w:val="000000"/>
          <w:sz w:val="22"/>
          <w:szCs w:val="22"/>
        </w:rPr>
        <w:t xml:space="preserve">7.  Assumptions &amp; Constraints</w:t>
      </w:r>
    </w:p>
    <w:p>
      <w:pPr>
        <w:spacing w:before="160" w:after="60"/>
      </w:pPr>
      <w:r>
        <w:rPr>
          <w:rFonts w:ascii="Arial" w:cs="Arial" w:eastAsia="Arial" w:hAnsi="Arial"/>
          <w:b/>
          <w:bCs/>
          <w:color w:val="000000"/>
          <w:sz w:val="20"/>
          <w:szCs w:val="20"/>
        </w:rPr>
        <w:t xml:space="preserve">Assumptions</w:t>
      </w:r>
    </w:p>
    <w:p>
      <w:pPr>
        <w:pStyle w:val="ListParagraph"/>
        <w:numPr>
          <w:ilvl w:val="0"/>
          <w:numId w:val="2"/>
        </w:numPr>
        <w:spacing w:before="40" w:after="40"/>
      </w:pPr>
      <w:r>
        <w:rPr>
          <w:rFonts w:ascii="Arial" w:cs="Arial" w:eastAsia="Arial" w:hAnsi="Arial"/>
          <w:color w:val="111111"/>
          <w:sz w:val="20"/>
          <w:szCs w:val="20"/>
        </w:rPr>
        <w:t xml:space="preserve">The account_data.csv dataset (10,000 records, 22.26% fraud prevalence, 29 features) is representative of the live application population and has been cleared for use in model training.</w:t>
      </w:r>
    </w:p>
    <w:p>
      <w:pPr>
        <w:pStyle w:val="ListParagraph"/>
        <w:numPr>
          <w:ilvl w:val="0"/>
          <w:numId w:val="2"/>
        </w:numPr>
        <w:spacing w:before="40" w:after="40"/>
      </w:pPr>
      <w:r>
        <w:rPr>
          <w:rFonts w:ascii="Arial" w:cs="Arial" w:eastAsia="Arial" w:hAnsi="Arial"/>
          <w:color w:val="111111"/>
          <w:sz w:val="20"/>
          <w:szCs w:val="20"/>
        </w:rPr>
        <w:t xml:space="preserve">Ground-truth IsFraud labels in the training dataset are accurate and have been validated by the relevant team or supervisor.</w:t>
      </w:r>
    </w:p>
    <w:p>
      <w:pPr>
        <w:pStyle w:val="ListParagraph"/>
        <w:numPr>
          <w:ilvl w:val="0"/>
          <w:numId w:val="2"/>
        </w:numPr>
        <w:spacing w:before="40" w:after="40"/>
      </w:pPr>
      <w:r>
        <w:rPr>
          <w:rFonts w:ascii="Arial" w:cs="Arial" w:eastAsia="Arial" w:hAnsi="Arial"/>
          <w:color w:val="111111"/>
          <w:sz w:val="20"/>
          <w:szCs w:val="20"/>
        </w:rPr>
        <w:t xml:space="preserve">The Loan Origination System exposes or can expose a REST/JSON integration point for receiving fraud scores. API documentation will be available by Week 6.</w:t>
      </w:r>
    </w:p>
    <w:p>
      <w:pPr>
        <w:pStyle w:val="ListParagraph"/>
        <w:numPr>
          <w:ilvl w:val="0"/>
          <w:numId w:val="2"/>
        </w:numPr>
        <w:spacing w:before="40" w:after="40"/>
      </w:pPr>
      <w:r>
        <w:rPr>
          <w:rFonts w:ascii="Arial" w:cs="Arial" w:eastAsia="Arial" w:hAnsi="Arial"/>
          <w:color w:val="111111"/>
          <w:sz w:val="20"/>
          <w:szCs w:val="20"/>
        </w:rPr>
        <w:t xml:space="preserve">Reviewers and supervisors are available to provide sign-off on each deliverable within 3 business days of submission.</w:t>
      </w:r>
    </w:p>
    <w:p>
      <w:pPr>
        <w:pStyle w:val="ListParagraph"/>
        <w:numPr>
          <w:ilvl w:val="0"/>
          <w:numId w:val="2"/>
        </w:numPr>
        <w:spacing w:before="40" w:after="40"/>
      </w:pPr>
      <w:r>
        <w:rPr>
          <w:rFonts w:ascii="Arial" w:cs="Arial" w:eastAsia="Arial" w:hAnsi="Arial"/>
          <w:color w:val="111111"/>
          <w:sz w:val="20"/>
          <w:szCs w:val="20"/>
        </w:rPr>
        <w:t xml:space="preserve">MLflow or an equivalent experiment-tracking tool is accessible within the project environment at no additional cost.</w:t>
      </w:r>
    </w:p>
    <w:p>
      <w:pPr>
        <w:pStyle w:val="ListParagraph"/>
        <w:numPr>
          <w:ilvl w:val="0"/>
          <w:numId w:val="2"/>
        </w:numPr>
        <w:spacing w:before="40" w:after="40"/>
      </w:pPr>
      <w:r>
        <w:rPr>
          <w:rFonts w:ascii="Arial" w:cs="Arial" w:eastAsia="Arial" w:hAnsi="Arial"/>
          <w:color w:val="111111"/>
          <w:sz w:val="20"/>
          <w:szCs w:val="20"/>
        </w:rPr>
        <w:t xml:space="preserve">Stakeholders listed as simulated (loan officers, compliance, risk management) will be represented by the project owner for the purposes of requirement sign-off in a solo academic context.</w:t>
      </w:r>
    </w:p>
    <w:p>
      <w:pPr>
        <w:spacing w:before="160" w:after="60"/>
      </w:pPr>
      <w:r>
        <w:rPr>
          <w:rFonts w:ascii="Arial" w:cs="Arial" w:eastAsia="Arial" w:hAnsi="Arial"/>
          <w:b/>
          <w:bCs/>
          <w:color w:val="000000"/>
          <w:sz w:val="20"/>
          <w:szCs w:val="20"/>
        </w:rPr>
        <w:t xml:space="preserve">Constraints</w:t>
      </w:r>
    </w:p>
    <w:p>
      <w:pPr>
        <w:pStyle w:val="ListParagraph"/>
        <w:numPr>
          <w:ilvl w:val="0"/>
          <w:numId w:val="2"/>
        </w:numPr>
        <w:spacing w:before="40" w:after="40"/>
      </w:pPr>
      <w:r>
        <w:rPr>
          <w:rFonts w:ascii="Arial" w:cs="Arial" w:eastAsia="Arial" w:hAnsi="Arial"/>
          <w:color w:val="111111"/>
          <w:sz w:val="20"/>
          <w:szCs w:val="20"/>
        </w:rPr>
        <w:t xml:space="preserve">All data processing, model training, and inference must remain within an approved local or institutional cloud environment. No data may be uploaded to unapproved third-party services.</w:t>
      </w:r>
    </w:p>
    <w:p>
      <w:pPr>
        <w:pStyle w:val="ListParagraph"/>
        <w:numPr>
          <w:ilvl w:val="0"/>
          <w:numId w:val="2"/>
        </w:numPr>
        <w:spacing w:before="40" w:after="40"/>
      </w:pPr>
      <w:r>
        <w:rPr>
          <w:rFonts w:ascii="Arial" w:cs="Arial" w:eastAsia="Arial" w:hAnsi="Arial"/>
          <w:color w:val="111111"/>
          <w:sz w:val="20"/>
          <w:szCs w:val="20"/>
        </w:rPr>
        <w:t xml:space="preserve">PII fields must be masked or excluded at the preprocessing stage; they may not be used as model features under any circumstance.</w:t>
      </w:r>
    </w:p>
    <w:p>
      <w:pPr>
        <w:pStyle w:val="ListParagraph"/>
        <w:numPr>
          <w:ilvl w:val="0"/>
          <w:numId w:val="2"/>
        </w:numPr>
        <w:spacing w:before="40" w:after="40"/>
      </w:pPr>
      <w:r>
        <w:rPr>
          <w:rFonts w:ascii="Arial" w:cs="Arial" w:eastAsia="Arial" w:hAnsi="Arial"/>
          <w:color w:val="111111"/>
          <w:sz w:val="20"/>
          <w:szCs w:val="20"/>
        </w:rPr>
        <w:t xml:space="preserve">The model must be individually explainable for any adverse decision (rejection or mandatory review flag), in compliance with fair-lending guidelines.</w:t>
      </w:r>
    </w:p>
    <w:p>
      <w:pPr>
        <w:pStyle w:val="ListParagraph"/>
        <w:numPr>
          <w:ilvl w:val="0"/>
          <w:numId w:val="2"/>
        </w:numPr>
        <w:spacing w:before="40" w:after="40"/>
      </w:pPr>
      <w:r>
        <w:rPr>
          <w:rFonts w:ascii="Arial" w:cs="Arial" w:eastAsia="Arial" w:hAnsi="Arial"/>
          <w:color w:val="111111"/>
          <w:sz w:val="20"/>
          <w:szCs w:val="20"/>
        </w:rPr>
        <w:t xml:space="preserve">The project must be delivered within 12 weeks. Any scope changes require documented justification and revised sign-off.</w:t>
      </w:r>
    </w:p>
    <w:p>
      <w:pPr>
        <w:pStyle w:val="ListParagraph"/>
        <w:numPr>
          <w:ilvl w:val="0"/>
          <w:numId w:val="2"/>
        </w:numPr>
        <w:spacing w:before="40" w:after="40"/>
      </w:pPr>
      <w:r>
        <w:rPr>
          <w:rFonts w:ascii="Arial" w:cs="Arial" w:eastAsia="Arial" w:hAnsi="Arial"/>
          <w:color w:val="111111"/>
          <w:sz w:val="20"/>
          <w:szCs w:val="20"/>
        </w:rPr>
        <w:t xml:space="preserve">v1.0 of the system will operate on historical labelled data only; real-time bureau API feeds are out of scope for this release.</w:t>
      </w:r>
    </w:p>
    <w:p>
      <w:pPr>
        <w:spacing w:before="60" w:after="60"/>
      </w:pPr>
      <w:r>
        <w:t xml:space="preserve"/>
      </w:r>
    </w:p>
    <w:p>
      <w:pPr>
        <w:spacing w:before="280" w:after="100"/>
      </w:pPr>
      <w:r>
        <w:rPr>
          <w:rFonts w:ascii="Arial" w:cs="Arial" w:eastAsia="Arial" w:hAnsi="Arial"/>
          <w:b/>
          <w:bCs/>
          <w:color w:val="000000"/>
          <w:sz w:val="22"/>
          <w:szCs w:val="22"/>
        </w:rPr>
        <w:t xml:space="preserve">8.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KPI</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Target</w:t>
            </w:r>
          </w:p>
        </w:tc>
        <w:tc>
          <w:tcPr>
            <w:tcW w:type="dxa" w:w="23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Measurement Method</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 Detection Rate (Recall)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85%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 evaluation on holdout test 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Primary success metric</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False Positive Rate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15%</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 evaluation on holdout test set</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Business tolerance threshold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Precision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85%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 evaluation on holdout test 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Complements recall target</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AUC-ROC Score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0.90</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 evaluation — ROC curve</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Overall discriminatory power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Scoring API Response Time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3 seconds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Load testing; production monitoring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Per application, p95 latency</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Fraud Disbursement Reduction</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30%</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Ops tracking vs prior-year baseline</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Measured at 6 months post-live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Review Turnaround Time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2 hours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Operations workflow tracking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For flagged applications</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 Drift Alert Response Time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30 days</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PSI monitoring; automated alerting</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Triggers retraining pipeline</w:t>
            </w:r>
          </w:p>
        </w:tc>
      </w:tr>
    </w:tbl>
    <w:p>
      <w:pPr>
        <w:spacing w:before="60" w:after="60"/>
      </w:pPr>
      <w:r>
        <w:t xml:space="preserve"/>
      </w:r>
    </w:p>
    <w:p>
      <w:pPr>
        <w:spacing w:before="280" w:after="100"/>
      </w:pPr>
      <w:r>
        <w:rPr>
          <w:rFonts w:ascii="Arial" w:cs="Arial" w:eastAsia="Arial" w:hAnsi="Arial"/>
          <w:b/>
          <w:bCs/>
          <w:color w:val="000000"/>
          <w:sz w:val="22"/>
          <w:szCs w:val="22"/>
        </w:rPr>
        <w:t xml:space="preserve">9.  Acceptance Criteria</w:t>
      </w:r>
    </w:p>
    <w:p>
      <w:pPr>
        <w:spacing w:before="60" w:after="60"/>
      </w:pPr>
      <w:r>
        <w:rPr>
          <w:rFonts w:ascii="Arial" w:cs="Arial" w:eastAsia="Arial" w:hAnsi="Arial"/>
          <w:color w:val="111111"/>
          <w:sz w:val="20"/>
          <w:szCs w:val="20"/>
        </w:rPr>
        <w:t xml:space="preserve">The following criteria must all be met before the system is considered ready for production deployment or final academic submission.</w:t>
      </w:r>
    </w:p>
    <w:p>
      <w:pPr>
        <w:pStyle w:val="ListParagraph"/>
        <w:numPr>
          <w:ilvl w:val="0"/>
          <w:numId w:val="2"/>
        </w:numPr>
        <w:spacing w:before="40" w:after="40"/>
      </w:pPr>
      <w:r>
        <w:rPr>
          <w:rFonts w:ascii="Arial" w:cs="Arial" w:eastAsia="Arial" w:hAnsi="Arial"/>
          <w:color w:val="111111"/>
          <w:sz w:val="20"/>
          <w:szCs w:val="20"/>
        </w:rPr>
        <w:t xml:space="preserve">The trained model must achieve a minimum Recall of 85% and AUC-ROC of 0.90 on the held-out test set.</w:t>
      </w:r>
    </w:p>
    <w:p>
      <w:pPr>
        <w:pStyle w:val="ListParagraph"/>
        <w:numPr>
          <w:ilvl w:val="0"/>
          <w:numId w:val="2"/>
        </w:numPr>
        <w:spacing w:before="40" w:after="40"/>
      </w:pPr>
      <w:r>
        <w:rPr>
          <w:rFonts w:ascii="Arial" w:cs="Arial" w:eastAsia="Arial" w:hAnsi="Arial"/>
          <w:color w:val="111111"/>
          <w:sz w:val="20"/>
          <w:szCs w:val="20"/>
        </w:rPr>
        <w:t xml:space="preserve">All flagged applications must display a ranked list of the top contributing risk factors generated by SHAP.</w:t>
      </w:r>
    </w:p>
    <w:p>
      <w:pPr>
        <w:pStyle w:val="ListParagraph"/>
        <w:numPr>
          <w:ilvl w:val="0"/>
          <w:numId w:val="2"/>
        </w:numPr>
        <w:spacing w:before="40" w:after="40"/>
      </w:pPr>
      <w:r>
        <w:rPr>
          <w:rFonts w:ascii="Arial" w:cs="Arial" w:eastAsia="Arial" w:hAnsi="Arial"/>
          <w:color w:val="111111"/>
          <w:sz w:val="20"/>
          <w:szCs w:val="20"/>
        </w:rPr>
        <w:t xml:space="preserve">The scoring API must return a response in under 3 seconds for 95% of requests under simulated normal load.</w:t>
      </w:r>
    </w:p>
    <w:p>
      <w:pPr>
        <w:pStyle w:val="ListParagraph"/>
        <w:numPr>
          <w:ilvl w:val="0"/>
          <w:numId w:val="2"/>
        </w:numPr>
        <w:spacing w:before="40" w:after="40"/>
      </w:pPr>
      <w:r>
        <w:rPr>
          <w:rFonts w:ascii="Arial" w:cs="Arial" w:eastAsia="Arial" w:hAnsi="Arial"/>
          <w:color w:val="111111"/>
          <w:sz w:val="20"/>
          <w:szCs w:val="20"/>
        </w:rPr>
        <w:t xml:space="preserve">100% of scoring decisions must be captured in the audit log with input features, score, decision label, and timestamp.</w:t>
      </w:r>
    </w:p>
    <w:p>
      <w:pPr>
        <w:pStyle w:val="ListParagraph"/>
        <w:numPr>
          <w:ilvl w:val="0"/>
          <w:numId w:val="2"/>
        </w:numPr>
        <w:spacing w:before="40" w:after="40"/>
      </w:pPr>
      <w:r>
        <w:rPr>
          <w:rFonts w:ascii="Arial" w:cs="Arial" w:eastAsia="Arial" w:hAnsi="Arial"/>
          <w:color w:val="111111"/>
          <w:sz w:val="20"/>
          <w:szCs w:val="20"/>
        </w:rPr>
        <w:t xml:space="preserve">All PII fields must be confirmed absent from the model's input feature vector prior to go-live.</w:t>
      </w:r>
    </w:p>
    <w:p>
      <w:pPr>
        <w:pStyle w:val="ListParagraph"/>
        <w:numPr>
          <w:ilvl w:val="0"/>
          <w:numId w:val="2"/>
        </w:numPr>
        <w:spacing w:before="40" w:after="40"/>
      </w:pPr>
      <w:r>
        <w:rPr>
          <w:rFonts w:ascii="Arial" w:cs="Arial" w:eastAsia="Arial" w:hAnsi="Arial"/>
          <w:color w:val="111111"/>
          <w:sz w:val="20"/>
          <w:szCs w:val="20"/>
        </w:rPr>
        <w:t xml:space="preserve">UAT must be completed with at least 200 sample applications covering both fraud and legitimate cases, with a documented pass rate of &gt;= 95% against defined test cases.</w:t>
      </w:r>
    </w:p>
    <w:p>
      <w:pPr>
        <w:pStyle w:val="ListParagraph"/>
        <w:numPr>
          <w:ilvl w:val="0"/>
          <w:numId w:val="2"/>
        </w:numPr>
        <w:spacing w:before="40" w:after="40"/>
      </w:pPr>
      <w:r>
        <w:rPr>
          <w:rFonts w:ascii="Arial" w:cs="Arial" w:eastAsia="Arial" w:hAnsi="Arial"/>
          <w:color w:val="111111"/>
          <w:sz w:val="20"/>
          <w:szCs w:val="20"/>
        </w:rPr>
        <w:t xml:space="preserve">The monitoring dashboard must be live and correctly tracking fraud flag rate, false-positive trend, and at least one drift indicator before sign-off.</w:t>
      </w:r>
    </w:p>
    <w:p>
      <w:pPr>
        <w:pStyle w:val="ListParagraph"/>
        <w:numPr>
          <w:ilvl w:val="0"/>
          <w:numId w:val="2"/>
        </w:numPr>
        <w:spacing w:before="40" w:after="40"/>
      </w:pPr>
      <w:r>
        <w:rPr>
          <w:rFonts w:ascii="Arial" w:cs="Arial" w:eastAsia="Arial" w:hAnsi="Arial"/>
          <w:color w:val="111111"/>
          <w:sz w:val="20"/>
          <w:szCs w:val="20"/>
        </w:rPr>
        <w:t xml:space="preserve">A model card documenting training data, feature list, performance metrics, limitations, and known biases must be submitted alongside the final model artefact.</w:t>
      </w:r>
    </w:p>
    <w:p>
      <w:pPr>
        <w:spacing w:before="60" w:after="60"/>
      </w:pPr>
      <w:r>
        <w:t xml:space="preserve"/>
      </w:r>
    </w:p>
    <w:p>
      <w:pPr>
        <w:spacing w:before="280" w:after="100"/>
      </w:pPr>
      <w:r>
        <w:rPr>
          <w:rFonts w:ascii="Arial" w:cs="Arial" w:eastAsia="Arial" w:hAnsi="Arial"/>
          <w:b/>
          <w:bCs/>
          <w:color w:val="000000"/>
          <w:sz w:val="22"/>
          <w:szCs w:val="22"/>
        </w:rPr>
        <w:t xml:space="preserve">10.  Out of Scope</w:t>
      </w:r>
    </w:p>
    <w:p>
      <w:pPr>
        <w:pStyle w:val="ListParagraph"/>
        <w:numPr>
          <w:ilvl w:val="0"/>
          <w:numId w:val="2"/>
        </w:numPr>
        <w:spacing w:before="40" w:after="40"/>
      </w:pPr>
      <w:r>
        <w:rPr>
          <w:rFonts w:ascii="Arial" w:cs="Arial" w:eastAsia="Arial" w:hAnsi="Arial"/>
          <w:color w:val="111111"/>
          <w:sz w:val="20"/>
          <w:szCs w:val="20"/>
        </w:rPr>
        <w:t xml:space="preserve">Fraud detection for credit cards, insurance products, overdrafts, or any non-loan financial products.</w:t>
      </w:r>
    </w:p>
    <w:p>
      <w:pPr>
        <w:pStyle w:val="ListParagraph"/>
        <w:numPr>
          <w:ilvl w:val="0"/>
          <w:numId w:val="2"/>
        </w:numPr>
        <w:spacing w:before="40" w:after="40"/>
      </w:pPr>
      <w:r>
        <w:rPr>
          <w:rFonts w:ascii="Arial" w:cs="Arial" w:eastAsia="Arial" w:hAnsi="Arial"/>
          <w:color w:val="111111"/>
          <w:sz w:val="20"/>
          <w:szCs w:val="20"/>
        </w:rPr>
        <w:t xml:space="preserve">Post-detection investigation workflows, case management, or legal and recovery actions for confirmed fraud.</w:t>
      </w:r>
    </w:p>
    <w:p>
      <w:pPr>
        <w:pStyle w:val="ListParagraph"/>
        <w:numPr>
          <w:ilvl w:val="0"/>
          <w:numId w:val="2"/>
        </w:numPr>
        <w:spacing w:before="40" w:after="40"/>
      </w:pPr>
      <w:r>
        <w:rPr>
          <w:rFonts w:ascii="Arial" w:cs="Arial" w:eastAsia="Arial" w:hAnsi="Arial"/>
          <w:color w:val="111111"/>
          <w:sz w:val="20"/>
          <w:szCs w:val="20"/>
        </w:rPr>
        <w:t xml:space="preserve">KYC (Know Your Customer) or AML (Anti-Money Laundering) processes; these remain under existing Compliance systems.</w:t>
      </w:r>
    </w:p>
    <w:p>
      <w:pPr>
        <w:pStyle w:val="ListParagraph"/>
        <w:numPr>
          <w:ilvl w:val="0"/>
          <w:numId w:val="2"/>
        </w:numPr>
        <w:spacing w:before="40" w:after="40"/>
      </w:pPr>
      <w:r>
        <w:rPr>
          <w:rFonts w:ascii="Arial" w:cs="Arial" w:eastAsia="Arial" w:hAnsi="Arial"/>
          <w:color w:val="111111"/>
          <w:sz w:val="20"/>
          <w:szCs w:val="20"/>
        </w:rPr>
        <w:t xml:space="preserve">Changes to the core banking system, loan origination UI, or any front-end interfaces beyond the scoring API integration.</w:t>
      </w:r>
    </w:p>
    <w:p>
      <w:pPr>
        <w:pStyle w:val="ListParagraph"/>
        <w:numPr>
          <w:ilvl w:val="0"/>
          <w:numId w:val="2"/>
        </w:numPr>
        <w:spacing w:before="40" w:after="40"/>
      </w:pPr>
      <w:r>
        <w:rPr>
          <w:rFonts w:ascii="Arial" w:cs="Arial" w:eastAsia="Arial" w:hAnsi="Arial"/>
          <w:color w:val="111111"/>
          <w:sz w:val="20"/>
          <w:szCs w:val="20"/>
        </w:rPr>
        <w:t xml:space="preserve">Manual review queue or case-management tooling; the system surfaces scores only.</w:t>
      </w:r>
    </w:p>
    <w:p>
      <w:pPr>
        <w:pStyle w:val="ListParagraph"/>
        <w:numPr>
          <w:ilvl w:val="0"/>
          <w:numId w:val="2"/>
        </w:numPr>
        <w:spacing w:before="40" w:after="40"/>
      </w:pPr>
      <w:r>
        <w:rPr>
          <w:rFonts w:ascii="Arial" w:cs="Arial" w:eastAsia="Arial" w:hAnsi="Arial"/>
          <w:color w:val="111111"/>
          <w:sz w:val="20"/>
          <w:szCs w:val="20"/>
        </w:rPr>
        <w:t xml:space="preserve">Real-time integration with external credit bureaus or third-party data sources in v1.0.</w:t>
      </w:r>
    </w:p>
    <w:p>
      <w:pPr>
        <w:pStyle w:val="ListParagraph"/>
        <w:numPr>
          <w:ilvl w:val="0"/>
          <w:numId w:val="2"/>
        </w:numPr>
        <w:spacing w:before="40" w:after="40"/>
      </w:pPr>
      <w:r>
        <w:rPr>
          <w:rFonts w:ascii="Arial" w:cs="Arial" w:eastAsia="Arial" w:hAnsi="Arial"/>
          <w:color w:val="111111"/>
          <w:sz w:val="20"/>
          <w:szCs w:val="20"/>
        </w:rPr>
        <w:t xml:space="preserve">Fraud detection for applications submitted through non-digital or branch-based channels.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2026-03-20T04:59:15.023Z</dcterms:created>
  <dcterms:modified xsi:type="dcterms:W3CDTF">2026-03-20T04:59:15.024Z</dcterms:modified>
</cp:coreProperties>
</file>

<file path=docProps/custom.xml><?xml version="1.0" encoding="utf-8"?>
<Properties xmlns="http://schemas.openxmlformats.org/officeDocument/2006/custom-properties" xmlns:vt="http://schemas.openxmlformats.org/officeDocument/2006/docPropsVTypes"/>
</file>