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00000"/>
          <w:sz w:val="52"/>
          <w:szCs w:val="52"/>
        </w:rPr>
        <w:t xml:space="preserve">DATA DICTIONARY</w:t>
      </w:r>
    </w:p>
    <w:p>
      <w:pPr>
        <w:spacing w:before="0" w:after="60"/>
      </w:pPr>
      <w:r>
        <w:rPr>
          <w:rFonts w:ascii="Arial" w:cs="Arial" w:eastAsia="Arial" w:hAnsi="Arial"/>
          <w:color w:val="444444"/>
          <w:sz w:val="26"/>
          <w:szCs w:val="26"/>
        </w:rPr>
        <w:t xml:space="preserve">Fraud Detection System — Loan Applications</w:t>
      </w:r>
    </w:p>
    <w:p>
      <w:pPr>
        <w:spacing w:before="0" w:after="0"/>
      </w:pPr>
      <w:r>
        <w:rPr>
          <w:rFonts w:ascii="Arial" w:cs="Arial" w:eastAsia="Arial" w:hAnsi="Arial"/>
          <w:color w:val="444444"/>
          <w:sz w:val="19"/>
          <w:szCs w:val="19"/>
        </w:rPr>
        <w:t xml:space="preserve">Dataset: account_data.csv   |   29 Fields   |   Version 1.0   |   March 2026   |   Solo Project</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Project Name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Fraud Detection System — Loan Applications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Dataset</w:t>
            </w:r>
          </w:p>
        </w:tc>
        <w:tc>
          <w:tcPr>
            <w:tcW w:type="dxa" w:w="71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account_data.csv</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Total Fields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29</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Version</w:t>
            </w:r>
          </w:p>
        </w:tc>
        <w:tc>
          <w:tcPr>
            <w:tcW w:type="dxa" w:w="71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1.0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Date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20 March 2026</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Prepared By</w:t>
            </w:r>
          </w:p>
        </w:tc>
        <w:tc>
          <w:tcPr>
            <w:tcW w:type="dxa" w:w="71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Solo Project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Document ID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FDS-DD-001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Status</w:t>
            </w:r>
          </w:p>
        </w:tc>
        <w:tc>
          <w:tcPr>
            <w:tcW w:type="dxa" w:w="71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Draft</w:t>
            </w:r>
          </w:p>
        </w:tc>
      </w:tr>
    </w:tbl>
    <w:p>
      <w:pPr>
        <w:spacing w:before="60" w:after="60"/>
      </w:pPr>
      <w:r>
        <w:t xml:space="preserve"/>
      </w:r>
    </w:p>
    <w:p>
      <w:pPr>
        <w:spacing w:before="280" w:after="100"/>
      </w:pPr>
      <w:r>
        <w:rPr>
          <w:rFonts w:ascii="Arial" w:cs="Arial" w:eastAsia="Arial" w:hAnsi="Arial"/>
          <w:b/>
          <w:bCs/>
          <w:color w:val="000000"/>
          <w:sz w:val="22"/>
          <w:szCs w:val="22"/>
        </w:rPr>
        <w:t xml:space="preserve">1.  Purpose</w:t>
      </w:r>
    </w:p>
    <w:p>
      <w:pPr>
        <w:spacing w:before="60" w:after="60"/>
      </w:pPr>
      <w:r>
        <w:rPr>
          <w:rFonts w:ascii="Arial" w:cs="Arial" w:eastAsia="Arial" w:hAnsi="Arial"/>
          <w:color w:val="111111"/>
          <w:sz w:val="20"/>
          <w:szCs w:val="20"/>
        </w:rPr>
        <w:t xml:space="preserve">This document defines every field in the account_data.csv dataset used to train and evaluate the Fraud Detection System. For each field it records the data type, description, valid value range, whether nulls are permitted, fraud relevance based on EDA findings, and any encoding or preprocessing guidance required before model training.</w:t>
      </w:r>
    </w:p>
    <w:p>
      <w:pPr>
        <w:spacing w:before="60" w:after="60"/>
      </w:pPr>
      <w:r>
        <w:rPr>
          <w:rFonts w:ascii="Arial" w:cs="Arial" w:eastAsia="Arial" w:hAnsi="Arial"/>
          <w:color w:val="111111"/>
          <w:sz w:val="20"/>
          <w:szCs w:val="20"/>
        </w:rPr>
        <w:t xml:space="preserve">This document is the reference for all downstream work — feature engineering, model development, API integration, and audit. Any change to field definitions must be reflected here and versioned accordingly.</w:t>
      </w:r>
    </w:p>
    <w:p>
      <w:pPr>
        <w:spacing w:before="60" w:after="60"/>
      </w:pPr>
      <w:r>
        <w:t xml:space="preserve"/>
      </w:r>
    </w:p>
    <w:p>
      <w:pPr>
        <w:spacing w:before="280" w:after="100"/>
      </w:pPr>
      <w:r>
        <w:rPr>
          <w:rFonts w:ascii="Arial" w:cs="Arial" w:eastAsia="Arial" w:hAnsi="Arial"/>
          <w:b/>
          <w:bCs/>
          <w:color w:val="000000"/>
          <w:sz w:val="22"/>
          <w:szCs w:val="22"/>
        </w:rPr>
        <w:t xml:space="preserve">2.  How to Read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Column</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Description</w:t>
            </w:r>
          </w:p>
        </w:tc>
      </w:tr>
      <w:tr>
        <w:tc>
          <w:tcPr>
            <w:tcW w:type="dxa" w:w="20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 / Field Name</w:t>
            </w:r>
          </w:p>
        </w:tc>
        <w:tc>
          <w:tcPr>
            <w:tcW w:type="dxa" w:w="7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Sequential number and exact column name as it appears in the CSV file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Data Type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Storage type: Integer, Float, Categorical, Binary, or Time</w:t>
            </w:r>
          </w:p>
        </w:tc>
      </w:tr>
      <w:tr>
        <w:tc>
          <w:tcPr>
            <w:tcW w:type="dxa" w:w="20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Description</w:t>
            </w:r>
          </w:p>
        </w:tc>
        <w:tc>
          <w:tcPr>
            <w:tcW w:type="dxa" w:w="7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What the field represents in plain language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Valid Values / Range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Accepted inputs — values outside this range are treated as data quality errors</w:t>
            </w:r>
          </w:p>
        </w:tc>
      </w:tr>
      <w:tr>
        <w:tc>
          <w:tcPr>
            <w:tcW w:type="dxa" w:w="20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Nulls Allowed</w:t>
            </w:r>
          </w:p>
        </w:tc>
        <w:tc>
          <w:tcPr>
            <w:tcW w:type="dxa" w:w="7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Whether the field can be empty in the dataset (No = mandatory)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Fraud Relevance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 / Medium / Low — based on EDA correlation analysis with IsFraud</w:t>
            </w:r>
          </w:p>
        </w:tc>
      </w:tr>
      <w:tr>
        <w:tc>
          <w:tcPr>
            <w:tcW w:type="dxa" w:w="20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Notes</w:t>
            </w:r>
          </w:p>
        </w:tc>
        <w:tc>
          <w:tcPr>
            <w:tcW w:type="dxa" w:w="7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Additional context, encoding guidance, or EDA findings for that field</w:t>
            </w:r>
          </w:p>
        </w:tc>
      </w:tr>
    </w:tbl>
    <w:p>
      <w:pPr>
        <w:spacing w:before="60" w:after="60"/>
      </w:pPr>
      <w:r>
        <w:t xml:space="preserve"/>
      </w:r>
    </w:p>
    <w:p>
      <w:pPr>
        <w:spacing w:before="280" w:after="100"/>
      </w:pPr>
      <w:r>
        <w:rPr>
          <w:rFonts w:ascii="Arial" w:cs="Arial" w:eastAsia="Arial" w:hAnsi="Arial"/>
          <w:b/>
          <w:bCs/>
          <w:color w:val="000000"/>
          <w:sz w:val="22"/>
          <w:szCs w:val="22"/>
        </w:rPr>
        <w:t xml:space="preserve">3.  Dataset Overview</w:t>
      </w:r>
    </w:p>
    <w:p>
      <w:pPr>
        <w:spacing w:before="160" w:after="60"/>
      </w:pPr>
      <w:r>
        <w:rPr>
          <w:rFonts w:ascii="Arial" w:cs="Arial" w:eastAsia="Arial" w:hAnsi="Arial"/>
          <w:b/>
          <w:bCs/>
          <w:color w:val="000000"/>
          <w:sz w:val="20"/>
          <w:szCs w:val="20"/>
        </w:rPr>
        <w:t xml:space="preserve">Class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200"/>
        <w:gridCol w:w="2000"/>
      </w:tblGrid>
      <w:tr>
        <w:tc>
          <w:tcPr>
            <w:tcW w:type="dxa" w:w="30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Class</w:t>
            </w:r>
          </w:p>
        </w:tc>
        <w:tc>
          <w:tcPr>
            <w:tcW w:type="dxa" w:w="216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Count</w:t>
            </w:r>
          </w:p>
        </w:tc>
        <w:tc>
          <w:tcPr>
            <w:tcW w:type="dxa" w:w="22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Percentage</w:t>
            </w:r>
          </w:p>
        </w:tc>
        <w:tc>
          <w:tcPr>
            <w:tcW w:type="dxa" w:w="20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Notes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Legitimate (IsFraud = 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7,774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77.74%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Majority class</w:t>
            </w:r>
          </w:p>
        </w:tc>
      </w:tr>
      <w:tr>
        <w:tc>
          <w:tcPr>
            <w:tcW w:type="dxa" w:w="30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Fraud (IsFraud = 1)</w:t>
            </w:r>
          </w:p>
        </w:tc>
        <w:tc>
          <w:tcPr>
            <w:tcW w:type="dxa" w:w="21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2,226</w:t>
            </w:r>
          </w:p>
        </w:tc>
        <w:tc>
          <w:tcPr>
            <w:tcW w:type="dxa" w:w="2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22.26%</w:t>
            </w:r>
          </w:p>
        </w:tc>
        <w:tc>
          <w:tcPr>
            <w:tcW w:type="dxa" w:w="20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Minority class — apply SMOTE or class-weight balancing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Total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10,000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100%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Full dataset</w:t>
            </w:r>
          </w:p>
        </w:tc>
      </w:tr>
    </w:tbl>
    <w:p>
      <w:pPr>
        <w:spacing w:before="60" w:after="60"/>
      </w:pPr>
      <w:r>
        <w:t xml:space="preserve"/>
      </w:r>
    </w:p>
    <w:p>
      <w:pPr>
        <w:spacing w:before="160" w:after="60"/>
      </w:pPr>
      <w:r>
        <w:rPr>
          <w:rFonts w:ascii="Arial" w:cs="Arial" w:eastAsia="Arial" w:hAnsi="Arial"/>
          <w:b/>
          <w:bCs/>
          <w:color w:val="000000"/>
          <w:sz w:val="20"/>
          <w:szCs w:val="20"/>
        </w:rPr>
        <w:t xml:space="preserve">Key Observations</w:t>
      </w:r>
    </w:p>
    <w:p>
      <w:pPr>
        <w:pStyle w:val="ListParagraph"/>
        <w:numPr>
          <w:ilvl w:val="0"/>
          <w:numId w:val="2"/>
        </w:numPr>
        <w:spacing w:before="40" w:after="40"/>
      </w:pPr>
      <w:r>
        <w:rPr>
          <w:rFonts w:ascii="Arial" w:cs="Arial" w:eastAsia="Arial" w:hAnsi="Arial"/>
          <w:color w:val="111111"/>
          <w:sz w:val="20"/>
          <w:szCs w:val="20"/>
        </w:rPr>
        <w:t xml:space="preserve">The dataset contains 10,000 records with 29 features and one binary target variable (IsFraud).</w:t>
      </w:r>
    </w:p>
    <w:p>
      <w:pPr>
        <w:pStyle w:val="ListParagraph"/>
        <w:numPr>
          <w:ilvl w:val="0"/>
          <w:numId w:val="2"/>
        </w:numPr>
        <w:spacing w:before="40" w:after="40"/>
      </w:pPr>
      <w:r>
        <w:rPr>
          <w:rFonts w:ascii="Arial" w:cs="Arial" w:eastAsia="Arial" w:hAnsi="Arial"/>
          <w:color w:val="111111"/>
          <w:sz w:val="20"/>
          <w:szCs w:val="20"/>
        </w:rPr>
        <w:t xml:space="preserve">The fraud class represents 22.26% of records — a moderate class imbalance. SMOTE oversampling or class-weight adjustment must be applied before training.</w:t>
      </w:r>
    </w:p>
    <w:p>
      <w:pPr>
        <w:pStyle w:val="ListParagraph"/>
        <w:numPr>
          <w:ilvl w:val="0"/>
          <w:numId w:val="2"/>
        </w:numPr>
        <w:spacing w:before="40" w:after="40"/>
      </w:pPr>
      <w:r>
        <w:rPr>
          <w:rFonts w:ascii="Arial" w:cs="Arial" w:eastAsia="Arial" w:hAnsi="Arial"/>
          <w:color w:val="111111"/>
          <w:sz w:val="20"/>
          <w:szCs w:val="20"/>
        </w:rPr>
        <w:t xml:space="preserve">All 29 fields are fully populated; there are no missing values in this dataset.</w:t>
      </w:r>
    </w:p>
    <w:p>
      <w:pPr>
        <w:pStyle w:val="ListParagraph"/>
        <w:numPr>
          <w:ilvl w:val="0"/>
          <w:numId w:val="2"/>
        </w:numPr>
        <w:spacing w:before="40" w:after="40"/>
      </w:pPr>
      <w:r>
        <w:rPr>
          <w:rFonts w:ascii="Arial" w:cs="Arial" w:eastAsia="Arial" w:hAnsi="Arial"/>
          <w:color w:val="111111"/>
          <w:sz w:val="20"/>
          <w:szCs w:val="20"/>
        </w:rPr>
        <w:t xml:space="preserve">21 of the 29 fields are categorical and require encoding before they can be used in a numeric ML model.</w:t>
      </w:r>
    </w:p>
    <w:p>
      <w:pPr>
        <w:pStyle w:val="ListParagraph"/>
        <w:numPr>
          <w:ilvl w:val="0"/>
          <w:numId w:val="2"/>
        </w:numPr>
        <w:spacing w:before="40" w:after="40"/>
      </w:pPr>
      <w:r>
        <w:rPr>
          <w:rFonts w:ascii="Arial" w:cs="Arial" w:eastAsia="Arial" w:hAnsi="Arial"/>
          <w:color w:val="111111"/>
          <w:sz w:val="20"/>
          <w:szCs w:val="20"/>
        </w:rPr>
        <w:t xml:space="preserve">PII fields (Name, PAN Number, Contact Number, Email, Address) are present in customer_data.csv only — they do not appear in account_data.csv and must not be joined in without prior anonymisation.</w:t>
      </w:r>
    </w:p>
    <w:p>
      <w:pPr>
        <w:spacing w:before="60" w:after="60"/>
      </w:pPr>
      <w:r>
        <w:t xml:space="preserve"/>
      </w:r>
    </w:p>
    <w:p>
      <w:pPr>
        <w:spacing w:before="280" w:after="100"/>
      </w:pPr>
      <w:r>
        <w:rPr>
          <w:rFonts w:ascii="Arial" w:cs="Arial" w:eastAsia="Arial" w:hAnsi="Arial"/>
          <w:b/>
          <w:bCs/>
          <w:color w:val="000000"/>
          <w:sz w:val="22"/>
          <w:szCs w:val="22"/>
        </w:rPr>
        <w:t xml:space="preserve">4.  High Fraud-Relevance Fields — EDA Summary</w:t>
      </w:r>
    </w:p>
    <w:p>
      <w:pPr>
        <w:spacing w:before="60" w:after="60"/>
      </w:pPr>
      <w:r>
        <w:rPr>
          <w:rFonts w:ascii="Arial" w:cs="Arial" w:eastAsia="Arial" w:hAnsi="Arial"/>
          <w:color w:val="111111"/>
          <w:sz w:val="20"/>
          <w:szCs w:val="20"/>
        </w:rPr>
        <w:t xml:space="preserve">The following 12 fields were identified as high-relevance fraud predictors based on correlation analysis, crosstab examination, and KDE distribution plots carried out in the EDA notebook.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c>
          <w:tcPr>
            <w:tcW w:type="dxa" w:w="24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Field</w:t>
            </w:r>
          </w:p>
        </w:tc>
        <w:tc>
          <w:tcPr>
            <w:tcW w:type="dxa" w:w="9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Relevance</w:t>
            </w:r>
          </w:p>
        </w:tc>
        <w:tc>
          <w:tcPr>
            <w:tcW w:type="dxa" w:w="606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EDA Finding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PastFinancialMalpractices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w:t>
            </w:r>
          </w:p>
        </w:tc>
        <w:tc>
          <w:tcPr>
            <w:tcW w:type="dxa" w:w="6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Highest Pearson correlation with IsFraud across all features in the heatmap</w:t>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Blacklists</w:t>
            </w:r>
          </w:p>
        </w:tc>
        <w:tc>
          <w:tcPr>
            <w:tcW w:type="dxa" w:w="9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w:t>
            </w:r>
          </w:p>
        </w:tc>
        <w:tc>
          <w:tcPr>
            <w:tcW w:type="dxa" w:w="60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Strong binary signal; triggers auto-reject business rule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ChangeinBehavior</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w:t>
            </w:r>
          </w:p>
        </w:tc>
        <w:tc>
          <w:tcPr>
            <w:tcW w:type="dxa" w:w="6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Sudden behavioural shifts are a reliable fraud indicator</w:t>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AccountActivity</w:t>
            </w:r>
          </w:p>
        </w:tc>
        <w:tc>
          <w:tcPr>
            <w:tcW w:type="dxa" w:w="9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w:t>
            </w:r>
          </w:p>
        </w:tc>
        <w:tc>
          <w:tcPr>
            <w:tcW w:type="dxa" w:w="60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Suspicious account activity directly precedes many fraud cases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ConsistencyinData</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w:t>
            </w:r>
          </w:p>
        </w:tc>
        <w:tc>
          <w:tcPr>
            <w:tcW w:type="dxa" w:w="6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Internally inconsistent submissions are a strong fraud flag</w:t>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PaymentBehavior</w:t>
            </w:r>
          </w:p>
        </w:tc>
        <w:tc>
          <w:tcPr>
            <w:tcW w:type="dxa" w:w="9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w:t>
            </w:r>
          </w:p>
        </w:tc>
        <w:tc>
          <w:tcPr>
            <w:tcW w:type="dxa" w:w="60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Defaulters represent 60%+ of fraud cases per EDA crosstab</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LocationofApplication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w:t>
            </w:r>
          </w:p>
        </w:tc>
        <w:tc>
          <w:tcPr>
            <w:tcW w:type="dxa" w:w="6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Unusual location shows approximately 3x the fraud rate of local</w:t>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ApplicationBehavior</w:t>
            </w:r>
          </w:p>
        </w:tc>
        <w:tc>
          <w:tcPr>
            <w:tcW w:type="dxa" w:w="9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w:t>
            </w:r>
          </w:p>
        </w:tc>
        <w:tc>
          <w:tcPr>
            <w:tcW w:type="dxa" w:w="60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Rapid submission pattern is consistently elevated in fraud cases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EmploymentVerification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w:t>
            </w:r>
          </w:p>
        </w:tc>
        <w:tc>
          <w:tcPr>
            <w:tcW w:type="dxa" w:w="6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Unverified employment is a consistent fraud predictor</w:t>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CreditScore</w:t>
            </w:r>
          </w:p>
        </w:tc>
        <w:tc>
          <w:tcPr>
            <w:tcW w:type="dxa" w:w="9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w:t>
            </w:r>
          </w:p>
        </w:tc>
        <w:tc>
          <w:tcPr>
            <w:tcW w:type="dxa" w:w="60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Fraud cases cluster in the 600–700 range — not lowest scores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LoanAmountRequested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w:t>
            </w:r>
          </w:p>
        </w:tc>
        <w:tc>
          <w:tcPr>
            <w:tcW w:type="dxa" w:w="6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Amount relative to income is a compound fraud signal</w:t>
            </w:r>
          </w:p>
        </w:tc>
      </w:tr>
      <w:tr>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IncomeLevel</w:t>
            </w:r>
          </w:p>
        </w:tc>
        <w:tc>
          <w:tcPr>
            <w:tcW w:type="dxa" w:w="9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w:t>
            </w:r>
          </w:p>
        </w:tc>
        <w:tc>
          <w:tcPr>
            <w:tcW w:type="dxa" w:w="60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Lower income bands show disproportionate fraud representation</w:t>
            </w:r>
          </w:p>
        </w:tc>
      </w:tr>
    </w:tbl>
    <w:p>
      <w:pPr>
        <w:spacing w:before="60" w:after="60"/>
      </w:pPr>
      <w:r>
        <w:t xml:space="preserve"/>
      </w:r>
    </w:p>
    <w:p>
      <w:pPr>
        <w:spacing w:before="280" w:after="100"/>
      </w:pPr>
      <w:r>
        <w:rPr>
          <w:rFonts w:ascii="Arial" w:cs="Arial" w:eastAsia="Arial" w:hAnsi="Arial"/>
          <w:b/>
          <w:bCs/>
          <w:color w:val="000000"/>
          <w:sz w:val="22"/>
          <w:szCs w:val="22"/>
        </w:rPr>
        <w:t xml:space="preserve">5.  Encoding Reference</w:t>
      </w:r>
    </w:p>
    <w:p>
      <w:pPr>
        <w:spacing w:before="60" w:after="60"/>
      </w:pPr>
      <w:r>
        <w:rPr>
          <w:rFonts w:ascii="Arial" w:cs="Arial" w:eastAsia="Arial" w:hAnsi="Arial"/>
          <w:color w:val="111111"/>
          <w:sz w:val="20"/>
          <w:szCs w:val="20"/>
        </w:rPr>
        <w:t xml:space="preserve">All categorical fields must be numerically encoded before model training. The table below specifies the recommended encoding method and exact mapping for each field.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2400"/>
        <w:gridCol w:w="2400"/>
      </w:tblGrid>
      <w:tr>
        <w:tc>
          <w:tcPr>
            <w:tcW w:type="dxa" w:w="22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Field Name</w:t>
            </w:r>
          </w:p>
        </w:tc>
        <w:tc>
          <w:tcPr>
            <w:tcW w:type="dxa" w:w="236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Original Type</w:t>
            </w:r>
          </w:p>
        </w:tc>
        <w:tc>
          <w:tcPr>
            <w:tcW w:type="dxa" w:w="24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Encoding Method</w:t>
            </w:r>
          </w:p>
        </w:tc>
        <w:tc>
          <w:tcPr>
            <w:tcW w:type="dxa" w:w="24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Mapping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ApplicationBehavior</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Binary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Normal = 0,  Rapid = 1</w:t>
            </w:r>
          </w:p>
        </w:tc>
      </w:tr>
      <w:tr>
        <w:tc>
          <w:tcPr>
            <w:tcW w:type="dxa" w:w="2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LocationofApplication</w:t>
            </w:r>
          </w:p>
        </w:tc>
        <w:tc>
          <w:tcPr>
            <w:tcW w:type="dxa" w:w="2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Binary</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Local = 0,  Unusual =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Blacklists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Binary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 = 0,  Yes = 1</w:t>
            </w:r>
          </w:p>
        </w:tc>
      </w:tr>
      <w:tr>
        <w:tc>
          <w:tcPr>
            <w:tcW w:type="dxa" w:w="2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PastFinancialMalpractices</w:t>
            </w:r>
          </w:p>
        </w:tc>
        <w:tc>
          <w:tcPr>
            <w:tcW w:type="dxa" w:w="2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Binary</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 = 0,  Yes =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ChangeinBehavior</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Binary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 = 0,  Yes = 1</w:t>
            </w:r>
          </w:p>
        </w:tc>
      </w:tr>
      <w:tr>
        <w:tc>
          <w:tcPr>
            <w:tcW w:type="dxa" w:w="2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AccountActivity</w:t>
            </w:r>
          </w:p>
        </w:tc>
        <w:tc>
          <w:tcPr>
            <w:tcW w:type="dxa" w:w="2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Binary</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Normal = 0,  Suspicious =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EmploymentVerification</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Binary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Verified = 0,  Unverified = 1</w:t>
            </w:r>
          </w:p>
        </w:tc>
      </w:tr>
      <w:tr>
        <w:tc>
          <w:tcPr>
            <w:tcW w:type="dxa" w:w="2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ConsistencyinData</w:t>
            </w:r>
          </w:p>
        </w:tc>
        <w:tc>
          <w:tcPr>
            <w:tcW w:type="dxa" w:w="2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Binary</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Consistent = 0,  Inconsistent =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PaymentBehavior</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Ordinal / OHE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On-time = 0,  Late = 1,  Default = 2  (or one-hot)</w:t>
            </w:r>
          </w:p>
        </w:tc>
      </w:tr>
      <w:tr>
        <w:tc>
          <w:tcPr>
            <w:tcW w:type="dxa" w:w="2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Collateral</w:t>
            </w:r>
          </w:p>
        </w:tc>
        <w:tc>
          <w:tcPr>
            <w:tcW w:type="dxa" w:w="2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Binary</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Yes = 0,  No =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SocialMediaFootprint</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Binary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Yes = 0,  No = 1</w:t>
            </w:r>
          </w:p>
        </w:tc>
      </w:tr>
      <w:tr>
        <w:tc>
          <w:tcPr>
            <w:tcW w:type="dxa" w:w="2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Occupation</w:t>
            </w:r>
          </w:p>
        </w:tc>
        <w:tc>
          <w:tcPr>
            <w:tcW w:type="dxa" w:w="2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One-hot</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Expand into dummy columns per unique value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MaritalStatus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One-hot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Single / Married / Divorced — expand into dummies</w:t>
            </w:r>
          </w:p>
        </w:tc>
      </w:tr>
      <w:tr>
        <w:tc>
          <w:tcPr>
            <w:tcW w:type="dxa" w:w="2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ResidentialStatus</w:t>
            </w:r>
          </w:p>
        </w:tc>
        <w:tc>
          <w:tcPr>
            <w:tcW w:type="dxa" w:w="2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Binary</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Own = 0,  Rent =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PurposeoftheLoan</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One-hot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home / personal / auto / education / travel — expand into dummies</w:t>
            </w:r>
          </w:p>
        </w:tc>
      </w:tr>
      <w:tr>
        <w:tc>
          <w:tcPr>
            <w:tcW w:type="dxa" w:w="2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DeviceInformation</w:t>
            </w:r>
          </w:p>
        </w:tc>
        <w:tc>
          <w:tcPr>
            <w:tcW w:type="dxa" w:w="2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One-hot</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Mobile / Laptop / Tablet — expand into dummies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Referral</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One-hot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Expand into dummy columns per unique value</w:t>
            </w:r>
          </w:p>
        </w:tc>
      </w:tr>
      <w:tr>
        <w:tc>
          <w:tcPr>
            <w:tcW w:type="dxa" w:w="22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TimeofTransaction</w:t>
            </w:r>
          </w:p>
        </w:tc>
        <w:tc>
          <w:tcPr>
            <w:tcW w:type="dxa" w:w="23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Time</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Numeric (hour)</w:t>
            </w:r>
          </w:p>
        </w:tc>
        <w:tc>
          <w:tcPr>
            <w:tcW w:type="dxa" w:w="24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Extract hour as integer 0–23; optionally bin into time-of-day bands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IsFraud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Binary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Binary (target)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 = 0,  Yes = 1</w:t>
            </w:r>
          </w:p>
        </w:tc>
      </w:tr>
    </w:tbl>
    <w:p>
      <w:pPr>
        <w:spacing w:before="60" w:after="60"/>
      </w:pPr>
      <w:r>
        <w:t xml:space="preserve"/>
      </w:r>
    </w:p>
    <w:p>
      <w:pPr>
        <w:spacing w:before="280" w:after="100"/>
      </w:pPr>
      <w:r>
        <w:rPr>
          <w:rFonts w:ascii="Arial" w:cs="Arial" w:eastAsia="Arial" w:hAnsi="Arial"/>
          <w:b/>
          <w:bCs/>
          <w:color w:val="000000"/>
          <w:sz w:val="22"/>
          <w:szCs w:val="22"/>
        </w:rPr>
        <w:t xml:space="preserve">6.  Data Quality Rules</w:t>
      </w:r>
    </w:p>
    <w:p>
      <w:pPr>
        <w:pStyle w:val="ListParagraph"/>
        <w:numPr>
          <w:ilvl w:val="0"/>
          <w:numId w:val="2"/>
        </w:numPr>
        <w:spacing w:before="40" w:after="40"/>
      </w:pPr>
      <w:r>
        <w:rPr>
          <w:rFonts w:ascii="Arial" w:cs="Arial" w:eastAsia="Arial" w:hAnsi="Arial"/>
          <w:color w:val="111111"/>
          <w:sz w:val="20"/>
          <w:szCs w:val="20"/>
        </w:rPr>
        <w:t xml:space="preserve">Any record with Age outside 18–80 must be flagged as invalid and excluded from training data.</w:t>
      </w:r>
    </w:p>
    <w:p>
      <w:pPr>
        <w:pStyle w:val="ListParagraph"/>
        <w:numPr>
          <w:ilvl w:val="0"/>
          <w:numId w:val="2"/>
        </w:numPr>
        <w:spacing w:before="40" w:after="40"/>
      </w:pPr>
      <w:r>
        <w:rPr>
          <w:rFonts w:ascii="Arial" w:cs="Arial" w:eastAsia="Arial" w:hAnsi="Arial"/>
          <w:color w:val="111111"/>
          <w:sz w:val="20"/>
          <w:szCs w:val="20"/>
        </w:rPr>
        <w:t xml:space="preserve">Any record with CreditScore outside 300–850 must be investigated before inclusion.</w:t>
      </w:r>
    </w:p>
    <w:p>
      <w:pPr>
        <w:pStyle w:val="ListParagraph"/>
        <w:numPr>
          <w:ilvl w:val="0"/>
          <w:numId w:val="2"/>
        </w:numPr>
        <w:spacing w:before="40" w:after="40"/>
      </w:pPr>
      <w:r>
        <w:rPr>
          <w:rFonts w:ascii="Arial" w:cs="Arial" w:eastAsia="Arial" w:hAnsi="Arial"/>
          <w:color w:val="111111"/>
          <w:sz w:val="20"/>
          <w:szCs w:val="20"/>
        </w:rPr>
        <w:t xml:space="preserve">Any record with LoanAmountRequested or IncomeLevel &lt;= 0 must be treated as a data error.</w:t>
      </w:r>
    </w:p>
    <w:p>
      <w:pPr>
        <w:pStyle w:val="ListParagraph"/>
        <w:numPr>
          <w:ilvl w:val="0"/>
          <w:numId w:val="2"/>
        </w:numPr>
        <w:spacing w:before="40" w:after="40"/>
      </w:pPr>
      <w:r>
        <w:rPr>
          <w:rFonts w:ascii="Arial" w:cs="Arial" w:eastAsia="Arial" w:hAnsi="Arial"/>
          <w:color w:val="111111"/>
          <w:sz w:val="20"/>
          <w:szCs w:val="20"/>
        </w:rPr>
        <w:t xml:space="preserve">InterestRate values above 30% or below 0% must be flagged for review.</w:t>
      </w:r>
    </w:p>
    <w:p>
      <w:pPr>
        <w:pStyle w:val="ListParagraph"/>
        <w:numPr>
          <w:ilvl w:val="0"/>
          <w:numId w:val="2"/>
        </w:numPr>
        <w:spacing w:before="40" w:after="40"/>
      </w:pPr>
      <w:r>
        <w:rPr>
          <w:rFonts w:ascii="Arial" w:cs="Arial" w:eastAsia="Arial" w:hAnsi="Arial"/>
          <w:color w:val="111111"/>
          <w:sz w:val="20"/>
          <w:szCs w:val="20"/>
        </w:rPr>
        <w:t xml:space="preserve">TimeofTransaction must be parseable to HH:MM format; malformed values default to null and the hour feature is imputed with the dataset median.</w:t>
      </w:r>
    </w:p>
    <w:p>
      <w:pPr>
        <w:pStyle w:val="ListParagraph"/>
        <w:numPr>
          <w:ilvl w:val="0"/>
          <w:numId w:val="2"/>
        </w:numPr>
        <w:spacing w:before="40" w:after="40"/>
      </w:pPr>
      <w:r>
        <w:rPr>
          <w:rFonts w:ascii="Arial" w:cs="Arial" w:eastAsia="Arial" w:hAnsi="Arial"/>
          <w:color w:val="111111"/>
          <w:sz w:val="20"/>
          <w:szCs w:val="20"/>
        </w:rPr>
        <w:t xml:space="preserve">IsFraud must be present on every record in the training set. Records with a missing target variable are excluded entirely.</w:t>
      </w:r>
    </w:p>
    <w:p>
      <w:pPr>
        <w:pStyle w:val="ListParagraph"/>
        <w:numPr>
          <w:ilvl w:val="0"/>
          <w:numId w:val="2"/>
        </w:numPr>
        <w:spacing w:before="40" w:after="40"/>
      </w:pPr>
      <w:r>
        <w:rPr>
          <w:rFonts w:ascii="Arial" w:cs="Arial" w:eastAsia="Arial" w:hAnsi="Arial"/>
          <w:color w:val="111111"/>
          <w:sz w:val="20"/>
          <w:szCs w:val="20"/>
        </w:rPr>
        <w:t xml:space="preserve">No PII fields should be present in the modelling dataset. If a join has been performed with customer_data.csv, Name, PANNumber, ContactNumber, Email, and Address must be dropped before any model training step.</w:t>
      </w:r>
    </w:p>
    <w:p>
      <w:pPr>
        <w:spacing w:before="60" w:after="60"/>
      </w:pPr>
      <w:r>
        <w:t xml:space="preserve"/>
      </w:r>
    </w:p>
    <w:p>
      <w:pPr>
        <w:spacing w:before="280" w:after="100"/>
      </w:pPr>
      <w:r>
        <w:rPr>
          <w:rFonts w:ascii="Arial" w:cs="Arial" w:eastAsia="Arial" w:hAnsi="Arial"/>
          <w:b/>
          <w:bCs/>
          <w:color w:val="000000"/>
          <w:sz w:val="22"/>
          <w:szCs w:val="22"/>
        </w:rPr>
        <w:t xml:space="preserve">7.  Additional Notes</w:t>
      </w:r>
    </w:p>
    <w:p>
      <w:pPr>
        <w:pStyle w:val="ListParagraph"/>
        <w:numPr>
          <w:ilvl w:val="0"/>
          <w:numId w:val="2"/>
        </w:numPr>
        <w:spacing w:before="40" w:after="40"/>
      </w:pPr>
      <w:r>
        <w:rPr>
          <w:rFonts w:ascii="Arial" w:cs="Arial" w:eastAsia="Arial" w:hAnsi="Arial"/>
          <w:color w:val="111111"/>
          <w:sz w:val="20"/>
          <w:szCs w:val="20"/>
        </w:rPr>
        <w:t xml:space="preserve">CreditScore fraud clustering at 600–700 (not the lowest range) suggests fraudsters deliberately maintain moderate credit profiles to avoid basic threshold rejections — this nuance is important for feature engineering.</w:t>
      </w:r>
    </w:p>
    <w:p>
      <w:pPr>
        <w:pStyle w:val="ListParagraph"/>
        <w:numPr>
          <w:ilvl w:val="0"/>
          <w:numId w:val="2"/>
        </w:numPr>
        <w:spacing w:before="40" w:after="40"/>
      </w:pPr>
      <w:r>
        <w:rPr>
          <w:rFonts w:ascii="Arial" w:cs="Arial" w:eastAsia="Arial" w:hAnsi="Arial"/>
          <w:color w:val="111111"/>
          <w:sz w:val="20"/>
          <w:szCs w:val="20"/>
        </w:rPr>
        <w:t xml:space="preserve">TimeofTransaction should be engineered into a numeric hour feature (0–23) and optionally into time-of-day bins (Morning / Afternoon / Evening / Late Night) to capture non-linear patterns.</w:t>
      </w:r>
    </w:p>
    <w:p>
      <w:pPr>
        <w:pStyle w:val="ListParagraph"/>
        <w:numPr>
          <w:ilvl w:val="0"/>
          <w:numId w:val="2"/>
        </w:numPr>
        <w:spacing w:before="40" w:after="40"/>
      </w:pPr>
      <w:r>
        <w:rPr>
          <w:rFonts w:ascii="Arial" w:cs="Arial" w:eastAsia="Arial" w:hAnsi="Arial"/>
          <w:color w:val="111111"/>
          <w:sz w:val="20"/>
          <w:szCs w:val="20"/>
        </w:rPr>
        <w:t xml:space="preserve">LoanAmountRequested and IncomeLevel should be used together as a ratio feature (loan-to-income) as this compound signal outperforms either feature individually.</w:t>
      </w:r>
    </w:p>
    <w:p>
      <w:pPr>
        <w:pStyle w:val="ListParagraph"/>
        <w:numPr>
          <w:ilvl w:val="0"/>
          <w:numId w:val="2"/>
        </w:numPr>
        <w:spacing w:before="40" w:after="40"/>
      </w:pPr>
      <w:r>
        <w:rPr>
          <w:rFonts w:ascii="Arial" w:cs="Arial" w:eastAsia="Arial" w:hAnsi="Arial"/>
          <w:color w:val="111111"/>
          <w:sz w:val="20"/>
          <w:szCs w:val="20"/>
        </w:rPr>
        <w:t xml:space="preserve">PaymentBehavior encoding: if ordinal encoding is used (On-time=0, Late=1, Default=2), the model must be able to handle ordinal relationships. For tree-based models, one-hot encoding is preferred.</w:t>
      </w:r>
    </w:p>
    <w:p>
      <w:pPr>
        <w:pStyle w:val="ListParagraph"/>
        <w:numPr>
          <w:ilvl w:val="0"/>
          <w:numId w:val="2"/>
        </w:numPr>
        <w:spacing w:before="40" w:after="40"/>
      </w:pPr>
      <w:r>
        <w:rPr>
          <w:rFonts w:ascii="Arial" w:cs="Arial" w:eastAsia="Arial" w:hAnsi="Arial"/>
          <w:color w:val="111111"/>
          <w:sz w:val="20"/>
          <w:szCs w:val="20"/>
        </w:rPr>
        <w:t xml:space="preserve">This data dictionary covers account_data.csv only. customer_data.csv (30 records, 13 fields) is a supplementary customer profile file and is documented separately.</w:t>
      </w:r>
    </w:p>
    <w:p>
      <w:pPr>
        <w:sectPr>
          <w:pgSz w:w="12240" w:h="15840" w:orient="portrait"/>
          <w:pgMar w:top="1440" w:right="1440" w:bottom="1440" w:left="1440" w:header="708" w:footer="708" w:gutter="0"/>
          <w:pgNumType/>
          <w:docGrid w:linePitch="360"/>
        </w:sectPr>
      </w:pPr>
    </w:p>
    <w:p>
      <w:pPr>
        <w:spacing w:before="280" w:after="100"/>
      </w:pPr>
      <w:r>
        <w:rPr>
          <w:rFonts w:ascii="Arial" w:cs="Arial" w:eastAsia="Arial" w:hAnsi="Arial"/>
          <w:b/>
          <w:bCs/>
          <w:color w:val="000000"/>
          <w:sz w:val="22"/>
          <w:szCs w:val="22"/>
        </w:rPr>
        <w:t xml:space="preserve">8.  Full Field Reference — account_data.csv</w:t>
      </w:r>
    </w:p>
    <w:p>
      <w:pPr>
        <w:spacing w:before="60" w:after="60"/>
      </w:pPr>
      <w:r>
        <w:rPr>
          <w:rFonts w:ascii="Arial" w:cs="Arial" w:eastAsia="Arial" w:hAnsi="Arial"/>
          <w:color w:val="111111"/>
          <w:sz w:val="20"/>
          <w:szCs w:val="20"/>
        </w:rPr>
        <w:t xml:space="preserve">All 29 fields are listed below with their complete definitions, valid value ranges, null policy, fraud relevance rating, and preprocessing notes.</w:t>
      </w:r>
    </w:p>
    <w:p>
      <w:pPr>
        <w:spacing w:before="60" w:after="6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20"/>
        <w:gridCol w:w="1700"/>
        <w:gridCol w:w="1100"/>
        <w:gridCol w:w="2800"/>
        <w:gridCol w:w="1800"/>
        <w:gridCol w:w="700"/>
        <w:gridCol w:w="1100"/>
        <w:gridCol w:w="3340"/>
      </w:tblGrid>
      <w:tr>
        <w:trPr>
          <w:tblHeader/>
        </w:trPr>
        <w:tc>
          <w:tcPr>
            <w:tcW w:type="dxa" w:w="42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17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Field Name</w:t>
            </w:r>
          </w:p>
        </w:tc>
        <w:tc>
          <w:tcPr>
            <w:tcW w:type="dxa" w:w="11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Data Type</w:t>
            </w:r>
          </w:p>
        </w:tc>
        <w:tc>
          <w:tcPr>
            <w:tcW w:type="dxa" w:w="2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c>
          <w:tcPr>
            <w:tcW w:type="dxa" w:w="18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Valid Values / Range</w:t>
            </w:r>
          </w:p>
        </w:tc>
        <w:tc>
          <w:tcPr>
            <w:tcW w:type="dxa" w:w="7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Nulls</w:t>
            </w:r>
          </w:p>
        </w:tc>
        <w:tc>
          <w:tcPr>
            <w:tcW w:type="dxa" w:w="11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Fraud Relevance</w:t>
            </w:r>
          </w:p>
        </w:tc>
        <w:tc>
          <w:tcPr>
            <w:tcW w:type="dxa" w:w="334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tcPr>
          <w:p>
            <w:r>
              <w:rPr>
                <w:rFonts w:ascii="Arial" w:cs="Arial" w:eastAsia="Arial" w:hAnsi="Arial"/>
                <w:b/>
                <w:bCs/>
                <w:color w:val="000000"/>
                <w:sz w:val="18"/>
                <w:szCs w:val="18"/>
              </w:rPr>
              <w:t xml:space="preserve">Notes</w:t>
            </w:r>
          </w:p>
        </w:tc>
      </w:tr>
      <w:tr>
        <w:tc>
          <w:tcPr>
            <w:tcW w:type="dxa" w:w="4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01</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Age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Integer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Applicant age in years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18 – 80</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Medium</w:t>
            </w:r>
          </w:p>
        </w:tc>
        <w:tc>
          <w:tcPr>
            <w:tcW w:type="dxa" w:w="3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Younger applicants show slightly higher fraud rates in EDA</w:t>
            </w:r>
          </w:p>
        </w:tc>
      </w:tr>
      <w:tr>
        <w:tc>
          <w:tcPr>
            <w:tcW w:type="dxa" w:w="4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02</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Occupation</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Applicant's current occupation</w:t>
            </w:r>
          </w:p>
        </w:tc>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Teacher, Engineer, Clerk, etc.</w:t>
            </w:r>
          </w:p>
        </w:tc>
        <w:tc>
          <w:tcPr>
            <w:tcW w:type="dxa" w:w="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w:t>
            </w:r>
          </w:p>
        </w:tc>
        <w:tc>
          <w:tcPr>
            <w:tcW w:type="dxa" w:w="334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Unemployed and self-employed categories show elevated fraud rates</w:t>
            </w:r>
          </w:p>
        </w:tc>
      </w:tr>
      <w:tr>
        <w:tc>
          <w:tcPr>
            <w:tcW w:type="dxa" w:w="4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03</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MaritalStatus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Marital status of the applicant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Single / Married / Divorced</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Low</w:t>
            </w:r>
          </w:p>
        </w:tc>
        <w:tc>
          <w:tcPr>
            <w:tcW w:type="dxa" w:w="3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 strong signal in EDA; retained for completeness</w:t>
            </w:r>
          </w:p>
        </w:tc>
      </w:tr>
      <w:tr>
        <w:tc>
          <w:tcPr>
            <w:tcW w:type="dxa" w:w="4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04</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Dependents</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Integer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Number of financial dependants</w:t>
            </w:r>
          </w:p>
        </w:tc>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0 – 10</w:t>
            </w:r>
          </w:p>
        </w:tc>
        <w:tc>
          <w:tcPr>
            <w:tcW w:type="dxa" w:w="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Low</w:t>
            </w:r>
          </w:p>
        </w:tc>
        <w:tc>
          <w:tcPr>
            <w:tcW w:type="dxa" w:w="334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Weak correlation with fraud target</w:t>
            </w:r>
          </w:p>
        </w:tc>
      </w:tr>
      <w:tr>
        <w:tc>
          <w:tcPr>
            <w:tcW w:type="dxa" w:w="4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05</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ResidentialStatus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Ownership status of applicant's residence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Own / Rent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Medium</w:t>
            </w:r>
          </w:p>
        </w:tc>
        <w:tc>
          <w:tcPr>
            <w:tcW w:type="dxa" w:w="3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Renters show marginally higher fraud rates</w:t>
            </w:r>
          </w:p>
        </w:tc>
      </w:tr>
      <w:tr>
        <w:tc>
          <w:tcPr>
            <w:tcW w:type="dxa" w:w="4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06</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AddressDuration</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Integer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Years the applicant has lived at current address</w:t>
            </w:r>
          </w:p>
        </w:tc>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0 – 50</w:t>
            </w:r>
          </w:p>
        </w:tc>
        <w:tc>
          <w:tcPr>
            <w:tcW w:type="dxa" w:w="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Medium</w:t>
            </w:r>
          </w:p>
        </w:tc>
        <w:tc>
          <w:tcPr>
            <w:tcW w:type="dxa" w:w="334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Short duration may indicate residential instability</w:t>
            </w:r>
          </w:p>
        </w:tc>
      </w:tr>
      <w:tr>
        <w:tc>
          <w:tcPr>
            <w:tcW w:type="dxa" w:w="4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07</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CreditScore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Integer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Bureau credit score at time of application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300 – 850</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w:t>
            </w:r>
          </w:p>
        </w:tc>
        <w:tc>
          <w:tcPr>
            <w:tcW w:type="dxa" w:w="3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Fraud clusters notably in the 600–700 range per EDA KDE analysis</w:t>
            </w:r>
          </w:p>
        </w:tc>
      </w:tr>
      <w:tr>
        <w:tc>
          <w:tcPr>
            <w:tcW w:type="dxa" w:w="4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08</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IncomeLevel</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Float</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Applicant's annual income in local currency (INR)</w:t>
            </w:r>
          </w:p>
        </w:tc>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&gt; 0</w:t>
            </w:r>
          </w:p>
        </w:tc>
        <w:tc>
          <w:tcPr>
            <w:tcW w:type="dxa" w:w="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w:t>
            </w:r>
          </w:p>
        </w:tc>
        <w:tc>
          <w:tcPr>
            <w:tcW w:type="dxa" w:w="334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Lower income bands show disproportionate fraud share</w:t>
            </w:r>
          </w:p>
        </w:tc>
      </w:tr>
      <w:tr>
        <w:tc>
          <w:tcPr>
            <w:tcW w:type="dxa" w:w="4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09</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LoanAmountRequested</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Float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Requested loan principal amount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&gt; 0</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w:t>
            </w:r>
          </w:p>
        </w:tc>
        <w:tc>
          <w:tcPr>
            <w:tcW w:type="dxa" w:w="3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Unusually high amounts relative to income are a fraud signal</w:t>
            </w:r>
          </w:p>
        </w:tc>
      </w:tr>
      <w:tr>
        <w:tc>
          <w:tcPr>
            <w:tcW w:type="dxa" w:w="4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10</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LoanTerm</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Integer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Requested loan duration in months</w:t>
            </w:r>
          </w:p>
        </w:tc>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1 – 360</w:t>
            </w:r>
          </w:p>
        </w:tc>
        <w:tc>
          <w:tcPr>
            <w:tcW w:type="dxa" w:w="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Medium</w:t>
            </w:r>
          </w:p>
        </w:tc>
        <w:tc>
          <w:tcPr>
            <w:tcW w:type="dxa" w:w="334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Extreme terms (very short or very long) may indicate misuse</w:t>
            </w:r>
          </w:p>
        </w:tc>
      </w:tr>
      <w:tr>
        <w:tc>
          <w:tcPr>
            <w:tcW w:type="dxa" w:w="4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11</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PurposeoftheLoan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Applicant's stated purpose for borrowing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home / personal / auto / education / travel</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Medium</w:t>
            </w:r>
          </w:p>
        </w:tc>
        <w:tc>
          <w:tcPr>
            <w:tcW w:type="dxa" w:w="3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Personal loans show slightly higher fraud rates in EDA</w:t>
            </w:r>
          </w:p>
        </w:tc>
      </w:tr>
      <w:tr>
        <w:tc>
          <w:tcPr>
            <w:tcW w:type="dxa" w:w="4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12</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Collateral</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Whether the applicant has offered collateral</w:t>
            </w:r>
          </w:p>
        </w:tc>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Yes / No</w:t>
            </w:r>
          </w:p>
        </w:tc>
        <w:tc>
          <w:tcPr>
            <w:tcW w:type="dxa" w:w="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Medium</w:t>
            </w:r>
          </w:p>
        </w:tc>
        <w:tc>
          <w:tcPr>
            <w:tcW w:type="dxa" w:w="334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 collateral increases unsecured exposure</w:t>
            </w:r>
          </w:p>
        </w:tc>
      </w:tr>
      <w:tr>
        <w:tc>
          <w:tcPr>
            <w:tcW w:type="dxa" w:w="4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13</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InterestRate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Float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Interest rate (%) offered or applicable to this loan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0.0 – 30.0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Medium</w:t>
            </w:r>
          </w:p>
        </w:tc>
        <w:tc>
          <w:tcPr>
            <w:tcW w:type="dxa" w:w="3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Outliers may reflect mispriced or manipulated applications</w:t>
            </w:r>
          </w:p>
        </w:tc>
      </w:tr>
      <w:tr>
        <w:tc>
          <w:tcPr>
            <w:tcW w:type="dxa" w:w="4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14</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PreviousLoans</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Integer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Total number of prior loans held by the applicant</w:t>
            </w:r>
          </w:p>
        </w:tc>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0 – 20</w:t>
            </w:r>
          </w:p>
        </w:tc>
        <w:tc>
          <w:tcPr>
            <w:tcW w:type="dxa" w:w="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Medium</w:t>
            </w:r>
          </w:p>
        </w:tc>
        <w:tc>
          <w:tcPr>
            <w:tcW w:type="dxa" w:w="334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Zero prior loans in combination with high amount is notable</w:t>
            </w:r>
          </w:p>
        </w:tc>
      </w:tr>
      <w:tr>
        <w:tc>
          <w:tcPr>
            <w:tcW w:type="dxa" w:w="4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15</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ExistingLiabilities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Float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Total current outstanding debt across all products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&gt;= 0</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Medium</w:t>
            </w:r>
          </w:p>
        </w:tc>
        <w:tc>
          <w:tcPr>
            <w:tcW w:type="dxa" w:w="3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 liabilities combined with new loan request flags over-leverage</w:t>
            </w:r>
          </w:p>
        </w:tc>
      </w:tr>
      <w:tr>
        <w:tc>
          <w:tcPr>
            <w:tcW w:type="dxa" w:w="4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16</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ApplicationBehavior</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Speed and pattern of the application submission</w:t>
            </w:r>
          </w:p>
        </w:tc>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Normal / Rapid</w:t>
            </w:r>
          </w:p>
        </w:tc>
        <w:tc>
          <w:tcPr>
            <w:tcW w:type="dxa" w:w="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w:t>
            </w:r>
          </w:p>
        </w:tc>
        <w:tc>
          <w:tcPr>
            <w:tcW w:type="dxa" w:w="334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Rapid applications are strongly associated with fraud in EDA. Encode: Normal=0, Rapid=1</w:t>
            </w:r>
          </w:p>
        </w:tc>
      </w:tr>
      <w:tr>
        <w:tc>
          <w:tcPr>
            <w:tcW w:type="dxa" w:w="4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17</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LocationofApplication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Geographic context of where the application was submitted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Local / Unusual</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w:t>
            </w:r>
          </w:p>
        </w:tc>
        <w:tc>
          <w:tcPr>
            <w:tcW w:type="dxa" w:w="3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Unusual location shows approximately 3x the fraud rate of local submissions per EDA. Encode: Local=0, Unusual=1</w:t>
            </w:r>
          </w:p>
        </w:tc>
      </w:tr>
      <w:tr>
        <w:tc>
          <w:tcPr>
            <w:tcW w:type="dxa" w:w="4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18</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ChangeinBehavior</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Whether a notable change from prior behaviour was detected</w:t>
            </w:r>
          </w:p>
        </w:tc>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Yes / No</w:t>
            </w:r>
          </w:p>
        </w:tc>
        <w:tc>
          <w:tcPr>
            <w:tcW w:type="dxa" w:w="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w:t>
            </w:r>
          </w:p>
        </w:tc>
        <w:tc>
          <w:tcPr>
            <w:tcW w:type="dxa" w:w="334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Sudden behavioural change is a strong fraud indicator. Encode: No=0, Yes=1</w:t>
            </w:r>
          </w:p>
        </w:tc>
      </w:tr>
      <w:tr>
        <w:tc>
          <w:tcPr>
            <w:tcW w:type="dxa" w:w="4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19</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TimeofTransaction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Time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Time of day the application was submitted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HH:MM (00:00 – 23:59)</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Medium</w:t>
            </w:r>
          </w:p>
        </w:tc>
        <w:tc>
          <w:tcPr>
            <w:tcW w:type="dxa" w:w="3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Late-night submissions (22:00–05:00) show elevated fraud rates; consider extracting hour as numeric feature</w:t>
            </w:r>
          </w:p>
        </w:tc>
      </w:tr>
      <w:tr>
        <w:tc>
          <w:tcPr>
            <w:tcW w:type="dxa" w:w="4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20</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AccountActivity</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Recent activity level observed on the applicant's account</w:t>
            </w:r>
          </w:p>
        </w:tc>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Normal / Suspicious</w:t>
            </w:r>
          </w:p>
        </w:tc>
        <w:tc>
          <w:tcPr>
            <w:tcW w:type="dxa" w:w="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w:t>
            </w:r>
          </w:p>
        </w:tc>
        <w:tc>
          <w:tcPr>
            <w:tcW w:type="dxa" w:w="334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Suspicious activity is a strong fraud predictor. Encode: Normal=0, Suspicious=1</w:t>
            </w:r>
          </w:p>
        </w:tc>
      </w:tr>
      <w:tr>
        <w:tc>
          <w:tcPr>
            <w:tcW w:type="dxa" w:w="4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21</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PaymentBehavior</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Applicant's historical loan repayment pattern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On-time / Late / Default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w:t>
            </w:r>
          </w:p>
        </w:tc>
        <w:tc>
          <w:tcPr>
            <w:tcW w:type="dxa" w:w="3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Defaulters account for 60%+ of fraud cases per EDA crosstab analysis. Encode with ordinal or one-hot</w:t>
            </w:r>
          </w:p>
        </w:tc>
      </w:tr>
      <w:tr>
        <w:tc>
          <w:tcPr>
            <w:tcW w:type="dxa" w:w="4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22</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Blacklists</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Whether the applicant appears on any fraud blacklist</w:t>
            </w:r>
          </w:p>
        </w:tc>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Yes / No</w:t>
            </w:r>
          </w:p>
        </w:tc>
        <w:tc>
          <w:tcPr>
            <w:tcW w:type="dxa" w:w="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w:t>
            </w:r>
          </w:p>
        </w:tc>
        <w:tc>
          <w:tcPr>
            <w:tcW w:type="dxa" w:w="334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Strong positive correlation with IsFraud; triggers auto-reject per BR-RULE-01. Encode: No=0, Yes=1</w:t>
            </w:r>
          </w:p>
        </w:tc>
      </w:tr>
      <w:tr>
        <w:tc>
          <w:tcPr>
            <w:tcW w:type="dxa" w:w="4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23</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EmploymentVerification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Whether the applicant's employment has been verified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Verified / Unverified</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w:t>
            </w:r>
          </w:p>
        </w:tc>
        <w:tc>
          <w:tcPr>
            <w:tcW w:type="dxa" w:w="3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Unverified employment is a consistent fraud signal. Encode: Verified=0, Unverified=1</w:t>
            </w:r>
          </w:p>
        </w:tc>
      </w:tr>
      <w:tr>
        <w:tc>
          <w:tcPr>
            <w:tcW w:type="dxa" w:w="4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24</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PastFinancialMalpractices</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Whether prior financial misconduct is on record</w:t>
            </w:r>
          </w:p>
        </w:tc>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Yes / No</w:t>
            </w:r>
          </w:p>
        </w:tc>
        <w:tc>
          <w:tcPr>
            <w:tcW w:type="dxa" w:w="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w:t>
            </w:r>
          </w:p>
        </w:tc>
        <w:tc>
          <w:tcPr>
            <w:tcW w:type="dxa" w:w="334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Highest Pearson correlation with IsFraud in the heatmap. Must-include feature. Encode: No=0, Yes=1</w:t>
            </w:r>
          </w:p>
        </w:tc>
      </w:tr>
      <w:tr>
        <w:tc>
          <w:tcPr>
            <w:tcW w:type="dxa" w:w="4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25</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DeviceInformation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Device type used to submit the application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Mobile / Laptop / Tablet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Medium</w:t>
            </w:r>
          </w:p>
        </w:tc>
        <w:tc>
          <w:tcPr>
            <w:tcW w:type="dxa" w:w="3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Unusual or mismatched device types may indicate account takeover; consider one-hot encoding</w:t>
            </w:r>
          </w:p>
        </w:tc>
      </w:tr>
      <w:tr>
        <w:tc>
          <w:tcPr>
            <w:tcW w:type="dxa" w:w="4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26</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SocialMediaFootprint</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Whether the applicant has a verifiable social media trail</w:t>
            </w:r>
          </w:p>
        </w:tc>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Yes / No</w:t>
            </w:r>
          </w:p>
        </w:tc>
        <w:tc>
          <w:tcPr>
            <w:tcW w:type="dxa" w:w="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Low</w:t>
            </w:r>
          </w:p>
        </w:tc>
        <w:tc>
          <w:tcPr>
            <w:tcW w:type="dxa" w:w="334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Weak signal; applicants with no footprint are slightly more suspicious</w:t>
            </w:r>
          </w:p>
        </w:tc>
      </w:tr>
      <w:tr>
        <w:tc>
          <w:tcPr>
            <w:tcW w:type="dxa" w:w="4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27</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ConsistencyinData</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Whether the submitted application data is internally consistent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Consistent / Inconsistent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High</w:t>
            </w:r>
          </w:p>
        </w:tc>
        <w:tc>
          <w:tcPr>
            <w:tcW w:type="dxa" w:w="3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Inconsistent data (e.g. income vs lifestyle) is a strong fraud flag. Encode: Consistent=0, Inconsistent=1</w:t>
            </w:r>
          </w:p>
        </w:tc>
      </w:tr>
      <w:tr>
        <w:tc>
          <w:tcPr>
            <w:tcW w:type="dxa" w:w="4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28</w:t>
            </w:r>
          </w:p>
        </w:tc>
        <w:tc>
          <w:tcPr>
            <w:tcW w:type="dxa" w:w="1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bCs/>
                <w:color w:val="111111"/>
                <w:sz w:val="17"/>
                <w:szCs w:val="17"/>
              </w:rPr>
              <w:t xml:space="preserve">Referral</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Categorical</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Channel or source through which the applicant was referred</w:t>
            </w:r>
          </w:p>
        </w:tc>
        <w:tc>
          <w:tcPr>
            <w:tcW w:type="dxa" w:w="1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Referral / Online / etc.</w:t>
            </w:r>
          </w:p>
        </w:tc>
        <w:tc>
          <w:tcPr>
            <w:tcW w:type="dxa" w:w="7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Low</w:t>
            </w:r>
          </w:p>
        </w:tc>
        <w:tc>
          <w:tcPr>
            <w:tcW w:type="dxa" w:w="334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Low predictive value individually; may add signal in combination with other features</w:t>
            </w:r>
          </w:p>
        </w:tc>
      </w:tr>
      <w:tr>
        <w:tc>
          <w:tcPr>
            <w:tcW w:type="dxa" w:w="4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29</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11111"/>
                <w:sz w:val="17"/>
                <w:szCs w:val="17"/>
              </w:rPr>
              <w:t xml:space="preserve">IsFraud</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Binary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Target variable — whether the application was confirmed as fraud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Yes / No (encode 1/0)</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No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TARGET</w:t>
            </w:r>
          </w:p>
        </w:tc>
        <w:tc>
          <w:tcPr>
            <w:tcW w:type="dxa" w:w="3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7"/>
                <w:szCs w:val="17"/>
              </w:rPr>
              <w:t xml:space="preserve">22.3% positive rate. Class imbalance must be addressed using SMOTE or class-weight adjustment before training</w:t>
            </w:r>
          </w:p>
        </w:tc>
      </w:tr>
    </w:tbl>
    <w:sectPr>
      <w:pgSz w:w="15840" w:h="122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2026-03-20T05:02:54.073Z</dcterms:created>
  <dcterms:modified xsi:type="dcterms:W3CDTF">2026-03-20T05:02:54.074Z</dcterms:modified>
</cp:coreProperties>
</file>

<file path=docProps/custom.xml><?xml version="1.0" encoding="utf-8"?>
<Properties xmlns="http://schemas.openxmlformats.org/officeDocument/2006/custom-properties" xmlns:vt="http://schemas.openxmlformats.org/officeDocument/2006/docPropsVTypes"/>
</file>