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00000"/>
          <w:sz w:val="52"/>
          <w:szCs w:val="52"/>
        </w:rPr>
        <w:t xml:space="preserve">FUNCTIONAL REQUIREMENTS DOCUMENT</w:t>
      </w:r>
    </w:p>
    <w:p>
      <w:pPr>
        <w:spacing w:before="0" w:after="60"/>
      </w:pPr>
      <w:r>
        <w:rPr>
          <w:rFonts w:ascii="Arial" w:cs="Arial" w:eastAsia="Arial" w:hAnsi="Arial"/>
          <w:color w:val="444444"/>
          <w:sz w:val="26"/>
          <w:szCs w:val="26"/>
        </w:rPr>
        <w:t xml:space="preserve">Fraud Detection System — Loan Applications</w:t>
      </w:r>
    </w:p>
    <w:p>
      <w:pPr>
        <w:spacing w:before="0" w:after="0"/>
      </w:pPr>
      <w:r>
        <w:rPr>
          <w:rFonts w:ascii="Arial" w:cs="Arial" w:eastAsia="Arial" w:hAnsi="Arial"/>
          <w:color w:val="444444"/>
          <w:sz w:val="19"/>
          <w:szCs w:val="19"/>
        </w:rPr>
        <w:t xml:space="preserve">Version 1.0   |   March 2026   |   Solo Project</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Project Name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Fraud Detection System — Loan Applications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Version</w:t>
            </w:r>
          </w:p>
        </w:tc>
        <w:tc>
          <w:tcPr>
            <w:tcW w:type="dxa" w:w="7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1.0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Date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20 March 2026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Prepared By</w:t>
            </w:r>
          </w:p>
        </w:tc>
        <w:tc>
          <w:tcPr>
            <w:tcW w:type="dxa" w:w="7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Solo Project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Status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Draft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Document ID</w:t>
            </w:r>
          </w:p>
        </w:tc>
        <w:tc>
          <w:tcPr>
            <w:tcW w:type="dxa" w:w="7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FDS-FRD-001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Related Docs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FDS-BRD-001 (BRD), FDS-DD-001 (Data Dictionary), FDS-PC-001 (Project Charter)</w:t>
            </w:r>
          </w:p>
        </w:tc>
      </w:tr>
    </w:tbl>
    <w:p>
      <w:pPr>
        <w:spacing w:before="60" w:after="60"/>
      </w:pPr>
      <w:r>
        <w:t xml:space="preserve"/>
      </w:r>
    </w:p>
    <w:p>
      <w:pPr>
        <w:spacing w:before="280" w:after="100"/>
      </w:pPr>
      <w:r>
        <w:rPr>
          <w:rFonts w:ascii="Arial" w:cs="Arial" w:eastAsia="Arial" w:hAnsi="Arial"/>
          <w:b/>
          <w:bCs/>
          <w:color w:val="000000"/>
          <w:sz w:val="22"/>
          <w:szCs w:val="22"/>
        </w:rPr>
        <w:t xml:space="preserve">1.  Purpose</w:t>
      </w:r>
    </w:p>
    <w:p>
      <w:pPr>
        <w:spacing w:before="60" w:after="60"/>
      </w:pPr>
      <w:r>
        <w:rPr>
          <w:rFonts w:ascii="Arial" w:cs="Arial" w:eastAsia="Arial" w:hAnsi="Arial"/>
          <w:color w:val="111111"/>
          <w:sz w:val="20"/>
          <w:szCs w:val="20"/>
        </w:rPr>
        <w:t xml:space="preserve">This document translates the business requirements defined in the Business Requirements Document (FDS-BRD-001) into detailed functional and technical system specifications. It defines exactly what the Fraud Detection System must do — how it ingests data, processes it, scores it, and responds — so that any developer, tester, or auditor can implement and verify the system without ambiguity.</w:t>
      </w:r>
    </w:p>
    <w:p>
      <w:pPr>
        <w:spacing w:before="60" w:after="60"/>
      </w:pPr>
      <w:r>
        <w:rPr>
          <w:rFonts w:ascii="Arial" w:cs="Arial" w:eastAsia="Arial" w:hAnsi="Arial"/>
          <w:color w:val="111111"/>
          <w:sz w:val="20"/>
          <w:szCs w:val="20"/>
        </w:rPr>
        <w:t xml:space="preserve">Every functional requirement in this document maps to one or more business requirements in the BRD. Any requirement not traceable to the BRD is out of scope for v1.0.</w:t>
      </w:r>
    </w:p>
    <w:p>
      <w:pPr>
        <w:spacing w:before="60" w:after="60"/>
      </w:pPr>
      <w:r>
        <w:t xml:space="preserve"/>
      </w:r>
    </w:p>
    <w:p>
      <w:pPr>
        <w:spacing w:before="280" w:after="100"/>
      </w:pPr>
      <w:r>
        <w:rPr>
          <w:rFonts w:ascii="Arial" w:cs="Arial" w:eastAsia="Arial" w:hAnsi="Arial"/>
          <w:b/>
          <w:bCs/>
          <w:color w:val="000000"/>
          <w:sz w:val="22"/>
          <w:szCs w:val="22"/>
        </w:rPr>
        <w:t xml:space="preserve">2.  System Overview</w:t>
      </w:r>
    </w:p>
    <w:p>
      <w:pPr>
        <w:spacing w:before="60" w:after="60"/>
      </w:pPr>
      <w:r>
        <w:rPr>
          <w:rFonts w:ascii="Arial" w:cs="Arial" w:eastAsia="Arial" w:hAnsi="Arial"/>
          <w:color w:val="111111"/>
          <w:sz w:val="20"/>
          <w:szCs w:val="20"/>
        </w:rPr>
        <w:t xml:space="preserve">The Fraud Detection System is a standalone scoring service that sits between the Loan Origination System (LOS) and the credit decision engine. It exposes a REST API that accepts loan application data, runs it through a validation and preprocessing pipeline, scores it using a trained ML classification model, and returns a fraud risk score, decision label, and SHAP-based explanation to the calling system.</w:t>
      </w:r>
    </w:p>
    <w:p>
      <w:pPr>
        <w:spacing w:before="60" w:after="60"/>
      </w:pPr>
      <w:r>
        <w:rPr>
          <w:rFonts w:ascii="Arial" w:cs="Arial" w:eastAsia="Arial" w:hAnsi="Arial"/>
          <w:color w:val="111111"/>
          <w:sz w:val="20"/>
          <w:szCs w:val="20"/>
        </w:rPr>
        <w:t xml:space="preserve">The system is composed of five logical components:</w:t>
      </w:r>
    </w:p>
    <w:p>
      <w:pPr>
        <w:pStyle w:val="ListParagraph"/>
        <w:numPr>
          <w:ilvl w:val="0"/>
          <w:numId w:val="2"/>
        </w:numPr>
        <w:spacing w:before="40" w:after="40"/>
      </w:pPr>
      <w:r>
        <w:rPr>
          <w:rFonts w:ascii="Arial" w:cs="Arial" w:eastAsia="Arial" w:hAnsi="Arial"/>
          <w:color w:val="111111"/>
          <w:sz w:val="20"/>
          <w:szCs w:val="20"/>
        </w:rPr>
        <w:t xml:space="preserve">Ingestion Layer — accepts both real-time API calls (JSON) and batch uploads (CSV); performs initial format and schema validation.</w:t>
      </w:r>
    </w:p>
    <w:p>
      <w:pPr>
        <w:pStyle w:val="ListParagraph"/>
        <w:numPr>
          <w:ilvl w:val="0"/>
          <w:numId w:val="2"/>
        </w:numPr>
        <w:spacing w:before="40" w:after="40"/>
      </w:pPr>
      <w:r>
        <w:rPr>
          <w:rFonts w:ascii="Arial" w:cs="Arial" w:eastAsia="Arial" w:hAnsi="Arial"/>
          <w:color w:val="111111"/>
          <w:sz w:val="20"/>
          <w:szCs w:val="20"/>
        </w:rPr>
        <w:t xml:space="preserve">Preprocessing Pipeline — applies field validation, PII stripping, categorical encoding, and feature engineering as defined in the Data Dictionary (FDS-DD-001).</w:t>
      </w:r>
    </w:p>
    <w:p>
      <w:pPr>
        <w:pStyle w:val="ListParagraph"/>
        <w:numPr>
          <w:ilvl w:val="0"/>
          <w:numId w:val="2"/>
        </w:numPr>
        <w:spacing w:before="40" w:after="40"/>
      </w:pPr>
      <w:r>
        <w:rPr>
          <w:rFonts w:ascii="Arial" w:cs="Arial" w:eastAsia="Arial" w:hAnsi="Arial"/>
          <w:color w:val="111111"/>
          <w:sz w:val="20"/>
          <w:szCs w:val="20"/>
        </w:rPr>
        <w:t xml:space="preserve">Scoring Engine — loads the trained model from the model registry and produces a fraud probability score (0.00–1.00) per application.</w:t>
      </w:r>
    </w:p>
    <w:p>
      <w:pPr>
        <w:pStyle w:val="ListParagraph"/>
        <w:numPr>
          <w:ilvl w:val="0"/>
          <w:numId w:val="2"/>
        </w:numPr>
        <w:spacing w:before="40" w:after="40"/>
      </w:pPr>
      <w:r>
        <w:rPr>
          <w:rFonts w:ascii="Arial" w:cs="Arial" w:eastAsia="Arial" w:hAnsi="Arial"/>
          <w:color w:val="111111"/>
          <w:sz w:val="20"/>
          <w:szCs w:val="20"/>
        </w:rPr>
        <w:t xml:space="preserve">Decision and Explanation Layer — converts the probability to a 0–100 risk score, applies threshold rules to assign a decision label, and generates SHAP feature importance outputs.</w:t>
      </w:r>
    </w:p>
    <w:p>
      <w:pPr>
        <w:pStyle w:val="ListParagraph"/>
        <w:numPr>
          <w:ilvl w:val="0"/>
          <w:numId w:val="2"/>
        </w:numPr>
        <w:spacing w:before="40" w:after="40"/>
      </w:pPr>
      <w:r>
        <w:rPr>
          <w:rFonts w:ascii="Arial" w:cs="Arial" w:eastAsia="Arial" w:hAnsi="Arial"/>
          <w:color w:val="111111"/>
          <w:sz w:val="20"/>
          <w:szCs w:val="20"/>
        </w:rPr>
        <w:t xml:space="preserve">Audit and Monitoring Layer — writes a complete log entry for every scoring event and feeds performance metrics (fraud flag rate, PSI drift) to the monitoring dashboard.</w:t>
      </w:r>
    </w:p>
    <w:p>
      <w:pPr>
        <w:spacing w:before="60" w:after="60"/>
      </w:pPr>
      <w:r>
        <w:t xml:space="preserve"/>
      </w:r>
    </w:p>
    <w:p>
      <w:pPr>
        <w:spacing w:before="280" w:after="100"/>
      </w:pPr>
      <w:r>
        <w:rPr>
          <w:rFonts w:ascii="Arial" w:cs="Arial" w:eastAsia="Arial" w:hAnsi="Arial"/>
          <w:b/>
          <w:bCs/>
          <w:color w:val="000000"/>
          <w:sz w:val="22"/>
          <w:szCs w:val="22"/>
        </w:rPr>
        <w:t xml:space="preserve">3.  Data Inputs</w:t>
      </w:r>
    </w:p>
    <w:p>
      <w:pPr>
        <w:spacing w:before="60" w:after="60"/>
      </w:pPr>
      <w:r>
        <w:rPr>
          <w:rFonts w:ascii="Arial" w:cs="Arial" w:eastAsia="Arial" w:hAnsi="Arial"/>
          <w:color w:val="111111"/>
          <w:sz w:val="20"/>
          <w:szCs w:val="20"/>
        </w:rPr>
        <w:t xml:space="preserve">The following 29 fields constitute the complete input schema for the scoring system. All fields are mandatory at inference time with the exception of IsFraud, which is the training target and must not be passed as an input during live scoring.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200"/>
        <w:gridCol w:w="2560"/>
        <w:gridCol w:w="1300"/>
        <w:gridCol w:w="1500"/>
      </w:tblGrid>
      <w:tr>
        <w:tc>
          <w:tcPr>
            <w:tcW w:type="dxa" w:w="5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23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Field Name</w:t>
            </w:r>
          </w:p>
        </w:tc>
        <w:tc>
          <w:tcPr>
            <w:tcW w:type="dxa" w:w="12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Data Type</w:t>
            </w:r>
          </w:p>
        </w:tc>
        <w:tc>
          <w:tcPr>
            <w:tcW w:type="dxa" w:w="256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Valid Values / Range</w:t>
            </w:r>
          </w:p>
        </w:tc>
        <w:tc>
          <w:tcPr>
            <w:tcW w:type="dxa" w:w="13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Required</w:t>
            </w:r>
          </w:p>
        </w:tc>
        <w:tc>
          <w:tcPr>
            <w:tcW w:type="dxa" w:w="15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Preprocessing Note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01</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Integer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18 – 80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Numeric; validate range before scoring</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02</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Occupation</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Teacher / Engineer / Clerk / etc.</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One-hot encode; 8 unique values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03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MaritalStatus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Single / Married / Divorced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One-hot encode</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04</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Dependents</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Integer</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0 – 10</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Numeric; validate range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05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ResidentialStatus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Own / Rent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 encode: Own=0, Rent=1</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06</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AddressDuration</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Integer</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0 – 50</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Numeric; validate range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07</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CreditScore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Integer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300 – 850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Numeric; validate range; high fraud relevance</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08</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IncomeLevel</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Float</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&gt; 0</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Numeric; used in loan-to-income ratio feature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09</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LoanAmountRequested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Float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&gt; 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Numeric; used in loan-to-income ratio feature</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10</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LoanTerm</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Integer</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1 – 360</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Numeric; validate range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11</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PurposeoftheLoan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home / personal / auto / education / travel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One-hot encode</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12</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Collateral</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 / No</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 encode: Yes=0, No=1</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13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InterestRate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Float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0.0 – 30.0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Numeric; validate range</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14</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PreviousLoans</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Integer</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0 – 20</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Numeric; validate range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15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ExistingLiabilities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Float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&gt;= 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Numeric</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16</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ApplicationBehavior</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Normal / Rapid</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 encode: Normal=0, Rapid=1; high fraud relevance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17</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LocationofApplication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Local / Unusual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 encode: Local=0, Unusual=1; high fraud relevance</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18</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ChangeinBehavior</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 / No</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 encode: No=0, Yes=1</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19</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TimeofTransaction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Time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HH:MM (00:00 – 23:59)</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Extract hour as integer 0–23 before scoring</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20</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AccountActivity</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Normal / Suspicious</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 encode: Normal=0, Suspicious=1</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21</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PaymentBehavior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On-time / Late / Default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Ordinal or one-hot encode; highest fraud share on Default</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22</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Blacklists</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 / No</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 encode: No=0, Yes=1; triggers auto-reject pre-score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23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EmploymentVerification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Verified / Unverified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 encode: Verified=0, Unverified=1</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24</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PastFinancialMalpractices</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 / No</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 encode: No=0, Yes=1; highest correlation with target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25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DeviceInformation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Mobile / Laptop / Tablet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One-hot encode</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26</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SocialMediaFootprint</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 / No</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 encode: Yes=0, No=1</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27</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ConsistencyinData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Consistent / Inconsistent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 encode: Consistent=0, Inconsistent=1</w:t>
            </w:r>
          </w:p>
        </w:tc>
      </w:tr>
      <w:tr>
        <w:tc>
          <w:tcPr>
            <w:tcW w:type="dxa" w:w="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28</w:t>
            </w:r>
          </w:p>
        </w:tc>
        <w:tc>
          <w:tcPr>
            <w:tcW w:type="dxa" w:w="2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Referral</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Referral / Online / etc.</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Yes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One-hot encode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29</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IsFraud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0 / 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Target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Target variable only; not passed as input at inference time</w:t>
            </w:r>
          </w:p>
        </w:tc>
      </w:tr>
    </w:tbl>
    <w:p>
      <w:pPr>
        <w:spacing w:before="60" w:after="60"/>
      </w:pPr>
      <w:r>
        <w:t xml:space="preserve"/>
      </w:r>
    </w:p>
    <w:p>
      <w:pPr>
        <w:spacing w:before="280" w:after="100"/>
      </w:pPr>
      <w:r>
        <w:rPr>
          <w:rFonts w:ascii="Arial" w:cs="Arial" w:eastAsia="Arial" w:hAnsi="Arial"/>
          <w:b/>
          <w:bCs/>
          <w:color w:val="000000"/>
          <w:sz w:val="22"/>
          <w:szCs w:val="22"/>
        </w:rPr>
        <w:t xml:space="preserve">4.  Functional Requirements</w:t>
      </w:r>
    </w:p>
    <w:p>
      <w:pPr>
        <w:spacing w:before="60" w:after="60"/>
      </w:pPr>
      <w:r>
        <w:rPr>
          <w:rFonts w:ascii="Arial" w:cs="Arial" w:eastAsia="Arial" w:hAnsi="Arial"/>
          <w:color w:val="111111"/>
          <w:sz w:val="20"/>
          <w:szCs w:val="20"/>
        </w:rPr>
        <w:t xml:space="preserve">Priority legend: Must Have = mandatory for go-live | Should Have = important but not blocking | Nice to Have = desirable if time permits.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60"/>
        <w:gridCol w:w="1300"/>
        <w:gridCol w:w="1100"/>
        <w:gridCol w:w="1700"/>
      </w:tblGrid>
      <w:tr>
        <w:tc>
          <w:tcPr>
            <w:tcW w:type="dxa" w:w="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ID</w:t>
            </w:r>
          </w:p>
        </w:tc>
        <w:tc>
          <w:tcPr>
            <w:tcW w:type="dxa" w:w="446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Requirement</w:t>
            </w:r>
          </w:p>
        </w:tc>
        <w:tc>
          <w:tcPr>
            <w:tcW w:type="dxa" w:w="13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Priority</w:t>
            </w:r>
          </w:p>
        </w:tc>
        <w:tc>
          <w:tcPr>
            <w:tcW w:type="dxa" w:w="11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Maps to BRD</w:t>
            </w:r>
          </w:p>
        </w:tc>
        <w:tc>
          <w:tcPr>
            <w:tcW w:type="dxa" w:w="17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Notes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FR-01</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accept application data either as a batch CSV file or as a real-time JSON payload via REST API.</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BR-01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Both ingestion modes required</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FR-02</w:t>
            </w:r>
          </w:p>
        </w:tc>
        <w:tc>
          <w:tcPr>
            <w:tcW w:type="dxa" w:w="44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validate all 29 input fields against defined type, range, and allowable-value rules before any scoring is attempted.</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BR-01</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Invalid records routed to error queue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FR-03</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apply the pre-processing pipeline — encoding, feature engineering, PII exclusion — to every validated record before passing it to the model.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BR-01, BR-08</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Encoding per Data Dictionary</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FR-04</w:t>
            </w:r>
          </w:p>
        </w:tc>
        <w:tc>
          <w:tcPr>
            <w:tcW w:type="dxa" w:w="44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generate a fraud probability score in the range 0.00–1.00 for each application using the trained ML model.</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BR-01</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Score stored alongside application ID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FR-05</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convert the raw probability to a 0–100 risk score and apply the threshold rules defined in Section 6 to determine the decision label.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BR-01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Low / Medium / High / Auto-Reject</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FR-06</w:t>
            </w:r>
          </w:p>
        </w:tc>
        <w:tc>
          <w:tcPr>
            <w:tcW w:type="dxa" w:w="44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auto-reject any application where the Blacklists field is Yes, prior to model scoring, without consuming model resources.</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BR-04</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Pre-scoring rule; bypasses FR-03/FR-04</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FR-07</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flag all High-risk applications (score &gt;= 75) and route them to the manual review queue with a review-required status.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BR-05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Queue entry created automatically</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FR-08</w:t>
            </w:r>
          </w:p>
        </w:tc>
        <w:tc>
          <w:tcPr>
            <w:tcW w:type="dxa" w:w="44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generate a SHAP-based explanation listing the top 5 contributing features and their direction of influence for every application that receives a Medium or High risk label.</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BR-02</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Output stored and surfaced to reviewer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FR-09</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write a complete audit log entry for every scoring event, containing: application ID, timestamp, all input feature values, computed score, decision label, and SHAP output.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BR-03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Log must be tamper-proof and append-only</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FR-10</w:t>
            </w:r>
          </w:p>
        </w:tc>
        <w:tc>
          <w:tcPr>
            <w:tcW w:type="dxa" w:w="44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return the score, decision label, and SHAP output to the calling system (LOS API) within 3 seconds for 95% of requests under normal load.</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BR-06</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p95 latency SLA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FR-11</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strip PII fields (Name, PAN, Contact, Email, Address) from any input payload before the record enters the feature engineering pipeline.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BR-08</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PII never reaches the model</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FR-12</w:t>
            </w:r>
          </w:p>
        </w:tc>
        <w:tc>
          <w:tcPr>
            <w:tcW w:type="dxa" w:w="44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handle a missing or null value in any non-critical field by applying the defined imputation strategy and logging a data quality warning.</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BR-01</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Missing critical fields route to manual review</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FR-13</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route any application where the model service is unavailable to the manual review queue and trigger an IT alert; it must never auto-approve on a system failure.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BR-06</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Fail-safe: default to manual review</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FR-14</w:t>
            </w:r>
          </w:p>
        </w:tc>
        <w:tc>
          <w:tcPr>
            <w:tcW w:type="dxa" w:w="44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expose a /health endpoint that returns the model version, last retrain date, and current service status.</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BR-07</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Used by monitoring and LOS integration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FR-15</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generate a weekly performance summary report covering: total applications scored, fraud flag rate, false-positive rate, and model drift indicators (PSI).</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Should Have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BR-09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Automated; delivered to configured recipients</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FR-16</w:t>
            </w:r>
          </w:p>
        </w:tc>
        <w:tc>
          <w:tcPr>
            <w:tcW w:type="dxa" w:w="44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support loading and activating a new model version without requiring a full system restart, using a versioned model registry.</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Should Have</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BR-10</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Enables monthly retraining pipeline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FR-17</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support concurrent scoring of at least 50 simultaneous API requests without degradation in response time.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Should Have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BR-06</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Concurrency requirement</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FR-18</w:t>
            </w:r>
          </w:p>
        </w:tc>
        <w:tc>
          <w:tcPr>
            <w:tcW w:type="dxa" w:w="44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provide an admin endpoint to update the fraud score threshold (default 75) without requiring a code deployment.</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Should Have</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BR-05</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Configurable threshold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FR-19</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retain all audit logs for a minimum of 7 years in compliance with applicable financial-record retention regulations.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Must Have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BR-03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Retention policy requirement</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FR-20</w:t>
            </w:r>
          </w:p>
        </w:tc>
        <w:tc>
          <w:tcPr>
            <w:tcW w:type="dxa" w:w="44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shall provide a confidence interval alongside each fraud score to assist reviewer prioritisation within the High-risk band.</w:t>
            </w:r>
          </w:p>
        </w:tc>
        <w:tc>
          <w:tcPr>
            <w:tcW w:type="dxa" w:w="13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Nice to Have</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BR-11</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Score calibration output</w:t>
            </w:r>
          </w:p>
        </w:tc>
      </w:tr>
    </w:tbl>
    <w:p>
      <w:pPr>
        <w:spacing w:before="60" w:after="60"/>
      </w:pPr>
      <w:r>
        <w:t xml:space="preserve"/>
      </w:r>
    </w:p>
    <w:p>
      <w:pPr>
        <w:spacing w:before="280" w:after="100"/>
      </w:pPr>
      <w:r>
        <w:rPr>
          <w:rFonts w:ascii="Arial" w:cs="Arial" w:eastAsia="Arial" w:hAnsi="Arial"/>
          <w:b/>
          <w:bCs/>
          <w:color w:val="000000"/>
          <w:sz w:val="22"/>
          <w:szCs w:val="22"/>
        </w:rPr>
        <w:t xml:space="preserve">5.  System Behaviour — Scoring Logic</w:t>
      </w:r>
    </w:p>
    <w:p>
      <w:pPr>
        <w:spacing w:before="60" w:after="60"/>
      </w:pPr>
      <w:r>
        <w:rPr>
          <w:rFonts w:ascii="Arial" w:cs="Arial" w:eastAsia="Arial" w:hAnsi="Arial"/>
          <w:color w:val="111111"/>
          <w:sz w:val="20"/>
          <w:szCs w:val="20"/>
        </w:rPr>
        <w:t xml:space="preserve">The following steps describe the complete processing sequence for every application received by the system.</w:t>
      </w:r>
    </w:p>
    <w:p>
      <w:pPr>
        <w:spacing w:before="60" w:after="60"/>
      </w:pPr>
      <w:r>
        <w:t xml:space="preserve"/>
      </w:r>
    </w:p>
    <w:p>
      <w:pPr>
        <w:spacing w:before="160" w:after="60"/>
      </w:pPr>
      <w:r>
        <w:rPr>
          <w:rFonts w:ascii="Arial" w:cs="Arial" w:eastAsia="Arial" w:hAnsi="Arial"/>
          <w:b/>
          <w:bCs/>
          <w:color w:val="000000"/>
          <w:sz w:val="20"/>
          <w:szCs w:val="20"/>
        </w:rPr>
        <w:t xml:space="preserve">Step 1 — Pre-Score Blacklist Check</w:t>
      </w:r>
    </w:p>
    <w:p>
      <w:pPr>
        <w:spacing w:before="60" w:after="60"/>
      </w:pPr>
      <w:r>
        <w:rPr>
          <w:rFonts w:ascii="Arial" w:cs="Arial" w:eastAsia="Arial" w:hAnsi="Arial"/>
          <w:color w:val="111111"/>
          <w:sz w:val="20"/>
          <w:szCs w:val="20"/>
        </w:rPr>
        <w:t xml:space="preserve">Before any preprocessing or model scoring occurs, the system checks whether the Blacklists field is Yes. If yes, the application is immediately auto-rejected, an audit log entry is written, compliance is notified, and no further processing takes place. This step is defined in FR-06.</w:t>
      </w:r>
    </w:p>
    <w:p>
      <w:pPr>
        <w:spacing w:before="160" w:after="60"/>
      </w:pPr>
      <w:r>
        <w:rPr>
          <w:rFonts w:ascii="Arial" w:cs="Arial" w:eastAsia="Arial" w:hAnsi="Arial"/>
          <w:b/>
          <w:bCs/>
          <w:color w:val="000000"/>
          <w:sz w:val="20"/>
          <w:szCs w:val="20"/>
        </w:rPr>
        <w:t xml:space="preserve">Step 2 — Input Validation</w:t>
      </w:r>
    </w:p>
    <w:p>
      <w:pPr>
        <w:spacing w:before="60" w:after="60"/>
      </w:pPr>
      <w:r>
        <w:rPr>
          <w:rFonts w:ascii="Arial" w:cs="Arial" w:eastAsia="Arial" w:hAnsi="Arial"/>
          <w:color w:val="111111"/>
          <w:sz w:val="20"/>
          <w:szCs w:val="20"/>
        </w:rPr>
        <w:t xml:space="preserve">All 29 input fields are validated against their defined data type, range, and allowable-value rules (FR-02). Records with invalid values are routed to the error queue with a descriptive validation error. Records with missing non-critical fields proceed to imputation (FR-12). Records missing critical fields are routed to the manual review queue.</w:t>
      </w:r>
    </w:p>
    <w:p>
      <w:pPr>
        <w:spacing w:before="160" w:after="60"/>
      </w:pPr>
      <w:r>
        <w:rPr>
          <w:rFonts w:ascii="Arial" w:cs="Arial" w:eastAsia="Arial" w:hAnsi="Arial"/>
          <w:b/>
          <w:bCs/>
          <w:color w:val="000000"/>
          <w:sz w:val="20"/>
          <w:szCs w:val="20"/>
        </w:rPr>
        <w:t xml:space="preserve">Step 3 — Preprocessing Pipeline</w:t>
      </w:r>
    </w:p>
    <w:p>
      <w:pPr>
        <w:spacing w:before="60" w:after="60"/>
      </w:pPr>
      <w:r>
        <w:rPr>
          <w:rFonts w:ascii="Arial" w:cs="Arial" w:eastAsia="Arial" w:hAnsi="Arial"/>
          <w:color w:val="111111"/>
          <w:sz w:val="20"/>
          <w:szCs w:val="20"/>
        </w:rPr>
        <w:t xml:space="preserve">Validated records pass through the preprocessing pipeline (FR-03): PII fields are stripped, categorical fields are encoded per the Data Dictionary, derived features are calculated (Section 8), and the complete feature vector is assembled.</w:t>
      </w:r>
    </w:p>
    <w:p>
      <w:pPr>
        <w:spacing w:before="160" w:after="60"/>
      </w:pPr>
      <w:r>
        <w:rPr>
          <w:rFonts w:ascii="Arial" w:cs="Arial" w:eastAsia="Arial" w:hAnsi="Arial"/>
          <w:b/>
          <w:bCs/>
          <w:color w:val="000000"/>
          <w:sz w:val="20"/>
          <w:szCs w:val="20"/>
        </w:rPr>
        <w:t xml:space="preserve">Step 4 — Model Scoring</w:t>
      </w:r>
    </w:p>
    <w:p>
      <w:pPr>
        <w:spacing w:before="60" w:after="60"/>
      </w:pPr>
      <w:r>
        <w:rPr>
          <w:rFonts w:ascii="Arial" w:cs="Arial" w:eastAsia="Arial" w:hAnsi="Arial"/>
          <w:color w:val="111111"/>
          <w:sz w:val="20"/>
          <w:szCs w:val="20"/>
        </w:rPr>
        <w:t xml:space="preserve">The assembled feature vector is passed to the trained model. The model returns a fraud probability between 0.00 and 1.00 (FR-04). This probability is converted to a 0–100 risk score.</w:t>
      </w:r>
    </w:p>
    <w:p>
      <w:pPr>
        <w:spacing w:before="160" w:after="60"/>
      </w:pPr>
      <w:r>
        <w:rPr>
          <w:rFonts w:ascii="Arial" w:cs="Arial" w:eastAsia="Arial" w:hAnsi="Arial"/>
          <w:b/>
          <w:bCs/>
          <w:color w:val="000000"/>
          <w:sz w:val="20"/>
          <w:szCs w:val="20"/>
        </w:rPr>
        <w:t xml:space="preserve">Step 5 — Threshold Decision</w:t>
      </w:r>
    </w:p>
    <w:p>
      <w:pPr>
        <w:spacing w:before="60" w:after="60"/>
      </w:pPr>
      <w:r>
        <w:rPr>
          <w:rFonts w:ascii="Arial" w:cs="Arial" w:eastAsia="Arial" w:hAnsi="Arial"/>
          <w:color w:val="111111"/>
          <w:sz w:val="20"/>
          <w:szCs w:val="20"/>
        </w:rPr>
        <w:t xml:space="preserve">The risk score is evaluated against the threshold rules defined in Section 6 (FR-05, FR-07). A decision label is assigned: Auto-Reject, High, Medium, or Low. High and Medium applications trigger SHAP explanation generation (FR-08).</w:t>
      </w:r>
    </w:p>
    <w:p>
      <w:pPr>
        <w:spacing w:before="160" w:after="60"/>
      </w:pPr>
      <w:r>
        <w:rPr>
          <w:rFonts w:ascii="Arial" w:cs="Arial" w:eastAsia="Arial" w:hAnsi="Arial"/>
          <w:b/>
          <w:bCs/>
          <w:color w:val="000000"/>
          <w:sz w:val="20"/>
          <w:szCs w:val="20"/>
        </w:rPr>
        <w:t xml:space="preserve">Step 6 — Response and Logging</w:t>
      </w:r>
    </w:p>
    <w:p>
      <w:pPr>
        <w:spacing w:before="60" w:after="60"/>
      </w:pPr>
      <w:r>
        <w:rPr>
          <w:rFonts w:ascii="Arial" w:cs="Arial" w:eastAsia="Arial" w:hAnsi="Arial"/>
          <w:color w:val="111111"/>
          <w:sz w:val="20"/>
          <w:szCs w:val="20"/>
        </w:rPr>
        <w:t xml:space="preserve">The score, decision label, and SHAP output are returned to the LOS via the API response (FR-10). Simultaneously, a complete audit log entry is written containing the application ID, timestamp, all input features, score, decision label, and SHAP output (FR-09). If the audit log write fails, scoring is halted for that record and IT is alerted.</w:t>
      </w:r>
    </w:p>
    <w:p>
      <w:pPr>
        <w:spacing w:before="60" w:after="60"/>
      </w:pPr>
      <w:r>
        <w:t xml:space="preserve"/>
      </w:r>
    </w:p>
    <w:p>
      <w:pPr>
        <w:spacing w:before="280" w:after="100"/>
      </w:pPr>
      <w:r>
        <w:rPr>
          <w:rFonts w:ascii="Arial" w:cs="Arial" w:eastAsia="Arial" w:hAnsi="Arial"/>
          <w:b/>
          <w:bCs/>
          <w:color w:val="000000"/>
          <w:sz w:val="22"/>
          <w:szCs w:val="22"/>
        </w:rPr>
        <w:t xml:space="preserve">6.  Alert &amp; Threshold Rules</w:t>
      </w:r>
    </w:p>
    <w:p>
      <w:pPr>
        <w:spacing w:before="60" w:after="60"/>
      </w:pPr>
      <w:r>
        <w:rPr>
          <w:rFonts w:ascii="Arial" w:cs="Arial" w:eastAsia="Arial" w:hAnsi="Arial"/>
          <w:color w:val="111111"/>
          <w:sz w:val="20"/>
          <w:szCs w:val="20"/>
        </w:rPr>
        <w:t xml:space="preserve">The default fraud score threshold is 75 out of 100. This value is configurable by an admin without code redeployment (FR-18). The table below defines the full decision matrix.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4200"/>
      </w:tblGrid>
      <w:tr>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Score Range</w:t>
            </w:r>
          </w:p>
        </w:tc>
        <w:tc>
          <w:tcPr>
            <w:tcW w:type="dxa" w:w="156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Risk Level</w:t>
            </w:r>
          </w:p>
        </w:tc>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System Action</w:t>
            </w:r>
          </w:p>
        </w:tc>
        <w:tc>
          <w:tcPr>
            <w:tcW w:type="dxa" w:w="42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0 – 40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Low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Auto Proceed</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Application passes through the origination pipeline without any additional review step.</w:t>
            </w:r>
          </w:p>
        </w:tc>
      </w:tr>
      <w:tr>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41 – 74</w:t>
            </w:r>
          </w:p>
        </w:tc>
        <w:tc>
          <w:tcPr>
            <w:tcW w:type="dxa" w:w="1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Medium</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Soft Flag — Monitor</w:t>
            </w:r>
          </w:p>
        </w:tc>
        <w:tc>
          <w:tcPr>
            <w:tcW w:type="dxa" w:w="4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Application is flagged as medium risk. SHAP explanation is generated. Loan officer is notified and may approve with documented justification.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75 – 100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High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Hard Flag — Review</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Application is immediately routed to the manual review queue. Cannot be approved without a reviewer sign-off.</w:t>
            </w:r>
          </w:p>
        </w:tc>
      </w:tr>
      <w:tr>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N/A</w:t>
            </w:r>
          </w:p>
        </w:tc>
        <w:tc>
          <w:tcPr>
            <w:tcW w:type="dxa" w:w="15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Auto-Reject</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Blocked Pre-Score</w:t>
            </w:r>
          </w:p>
        </w:tc>
        <w:tc>
          <w:tcPr>
            <w:tcW w:type="dxa" w:w="4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Applicant appears on a blacklist. Application is rejected before model scoring. Compliance is notified automatically.</w:t>
            </w:r>
          </w:p>
        </w:tc>
      </w:tr>
    </w:tbl>
    <w:p>
      <w:pPr>
        <w:spacing w:before="60" w:after="60"/>
      </w:pPr>
      <w:r>
        <w:t xml:space="preserve"/>
      </w:r>
    </w:p>
    <w:p>
      <w:pPr>
        <w:spacing w:before="280" w:after="100"/>
      </w:pPr>
      <w:r>
        <w:rPr>
          <w:rFonts w:ascii="Arial" w:cs="Arial" w:eastAsia="Arial" w:hAnsi="Arial"/>
          <w:b/>
          <w:bCs/>
          <w:color w:val="000000"/>
          <w:sz w:val="22"/>
          <w:szCs w:val="2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1800"/>
        <w:gridCol w:w="3400"/>
      </w:tblGrid>
      <w:tr>
        <w:tc>
          <w:tcPr>
            <w:tcW w:type="dxa" w:w="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ID</w:t>
            </w:r>
          </w:p>
        </w:tc>
        <w:tc>
          <w:tcPr>
            <w:tcW w:type="dxa" w:w="336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Requirement</w:t>
            </w:r>
          </w:p>
        </w:tc>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Target</w:t>
            </w:r>
          </w:p>
        </w:tc>
        <w:tc>
          <w:tcPr>
            <w:tcW w:type="dxa" w:w="34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Notes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NFR-01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API response time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p95 &lt; 3 seconds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Measured per scoring request under normal load; logged by monitoring</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NFR-02</w:t>
            </w:r>
          </w:p>
        </w:tc>
        <w:tc>
          <w:tcPr>
            <w:tcW w:type="dxa" w:w="3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uptime</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&gt;= 99.5%</w:t>
            </w:r>
          </w:p>
        </w:tc>
        <w:tc>
          <w:tcPr>
            <w:tcW w:type="dxa" w:w="3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Measured monthly; excludes scheduled maintenance windows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NFR-03</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Audit log retention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Minimum 7 years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Logs stored in append-only storage; deletion requires compliance sign-off</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NFR-04</w:t>
            </w:r>
          </w:p>
        </w:tc>
        <w:tc>
          <w:tcPr>
            <w:tcW w:type="dxa" w:w="3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Concurrent request handling</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&gt;= 50 simultaneous</w:t>
            </w:r>
          </w:p>
        </w:tc>
        <w:tc>
          <w:tcPr>
            <w:tcW w:type="dxa" w:w="3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System must not degrade below p95 SLA under this load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NFR-05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Model scoring throughput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&gt;= 200 req / minute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Sustained throughput requirement for batch processing windows</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NFR-06</w:t>
            </w:r>
          </w:p>
        </w:tc>
        <w:tc>
          <w:tcPr>
            <w:tcW w:type="dxa" w:w="3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Data encryption at rest</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AES-256 minimum</w:t>
            </w:r>
          </w:p>
        </w:tc>
        <w:tc>
          <w:tcPr>
            <w:tcW w:type="dxa" w:w="3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All audit logs and model artefacts encrypted at rest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NFR-07</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Data encryption in transit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TLS 1.2 or above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All API communication over HTTPS</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NFR-08</w:t>
            </w:r>
          </w:p>
        </w:tc>
        <w:tc>
          <w:tcPr>
            <w:tcW w:type="dxa" w:w="3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PII exposure</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Zero tolerance</w:t>
            </w:r>
          </w:p>
        </w:tc>
        <w:tc>
          <w:tcPr>
            <w:tcW w:type="dxa" w:w="3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No PII field may appear in model inputs, logs, or SHAP outputs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NFR-09</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Model retraining frequency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Monthly minimum</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Automated pipeline; triggered earlier if PSI drift threshold is breached</w:t>
            </w:r>
          </w:p>
        </w:tc>
      </w:tr>
      <w:tr>
        <w:tc>
          <w:tcPr>
            <w:tcW w:type="dxa" w:w="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NFR-10</w:t>
            </w:r>
          </w:p>
        </w:tc>
        <w:tc>
          <w:tcPr>
            <w:tcW w:type="dxa" w:w="3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New model activation downtime</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Zero downtime</w:t>
            </w:r>
          </w:p>
        </w:tc>
        <w:tc>
          <w:tcPr>
            <w:tcW w:type="dxa" w:w="3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Model versioning must support hot-swap without service interruption</w:t>
            </w:r>
          </w:p>
        </w:tc>
      </w:tr>
    </w:tbl>
    <w:p>
      <w:pPr>
        <w:spacing w:before="60" w:after="60"/>
      </w:pPr>
      <w:r>
        <w:t xml:space="preserve"/>
      </w:r>
    </w:p>
    <w:p>
      <w:pPr>
        <w:spacing w:before="280" w:after="100"/>
      </w:pPr>
      <w:r>
        <w:rPr>
          <w:rFonts w:ascii="Arial" w:cs="Arial" w:eastAsia="Arial" w:hAnsi="Arial"/>
          <w:b/>
          <w:bCs/>
          <w:color w:val="000000"/>
          <w:sz w:val="22"/>
          <w:szCs w:val="22"/>
        </w:rPr>
        <w:t xml:space="preserve">8.  Feature Engineering Specification</w:t>
      </w:r>
    </w:p>
    <w:p>
      <w:pPr>
        <w:spacing w:before="60" w:after="60"/>
      </w:pPr>
      <w:r>
        <w:rPr>
          <w:rFonts w:ascii="Arial" w:cs="Arial" w:eastAsia="Arial" w:hAnsi="Arial"/>
          <w:color w:val="111111"/>
          <w:sz w:val="20"/>
          <w:szCs w:val="20"/>
        </w:rPr>
        <w:t xml:space="preserve">In addition to the 28 encoded input features, the preprocessing pipeline creates the following derived features before scoring. These features must be included in the final model feature vector.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2000"/>
        <w:gridCol w:w="2600"/>
      </w:tblGrid>
      <w:tr>
        <w:tc>
          <w:tcPr>
            <w:tcW w:type="dxa" w:w="24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Derived Feature</w:t>
            </w:r>
          </w:p>
        </w:tc>
        <w:tc>
          <w:tcPr>
            <w:tcW w:type="dxa" w:w="236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Calculation</w:t>
            </w:r>
          </w:p>
        </w:tc>
        <w:tc>
          <w:tcPr>
            <w:tcW w:type="dxa" w:w="20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Type</w:t>
            </w:r>
          </w:p>
        </w:tc>
        <w:tc>
          <w:tcPr>
            <w:tcW w:type="dxa" w:w="26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Rationale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LoanToIncomeRatio</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LoanAmountRequested / IncomeLevel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Float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Compound risk signal; outperforms either feature alone in EDA</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HourOfApplication</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Hour extracted from TimeofTransaction</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Integer</w:t>
            </w:r>
          </w:p>
        </w:tc>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0–23; captures late-night application risk pattern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TimeOfDayBand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Binned hour: Morning / Afternoon / Evening / LateNight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Categorical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One-hot; handles non-linear time patterns</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DebtToIncomeRatio</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ExistingLiabilities / IncomeLevel</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Float</w:t>
            </w:r>
          </w:p>
        </w:tc>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Measures over-leverage; high DTI is a fraud signal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HighRiskOccupation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1 if Occupation in [Unemployed, Self-employed] else 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Derived from EDA occupation fraud rate analysis</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IsRapidAndUnusual</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1 if ApplicationBehavior=Rapid AND LocationofApplication=Unusual</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w:t>
            </w:r>
          </w:p>
        </w:tc>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Interaction feature; compound high-risk signal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BlacklistOrMalpractice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1 if Blacklists=Yes OR PastFinancialMalpractices=Yes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Binary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Combined strong fraud indicator</w:t>
            </w:r>
          </w:p>
        </w:tc>
      </w:tr>
    </w:tbl>
    <w:p>
      <w:pPr>
        <w:spacing w:before="60" w:after="60"/>
      </w:pPr>
      <w:r>
        <w:t xml:space="preserve"/>
      </w:r>
    </w:p>
    <w:p>
      <w:pPr>
        <w:spacing w:before="280" w:after="100"/>
      </w:pPr>
      <w:r>
        <w:rPr>
          <w:rFonts w:ascii="Arial" w:cs="Arial" w:eastAsia="Arial" w:hAnsi="Arial"/>
          <w:b/>
          <w:bCs/>
          <w:color w:val="000000"/>
          <w:sz w:val="22"/>
          <w:szCs w:val="22"/>
        </w:rPr>
        <w:t xml:space="preserve">9.  API Specification</w:t>
      </w:r>
    </w:p>
    <w:p>
      <w:pPr>
        <w:spacing w:before="60" w:after="60"/>
      </w:pPr>
      <w:r>
        <w:rPr>
          <w:rFonts w:ascii="Arial" w:cs="Arial" w:eastAsia="Arial" w:hAnsi="Arial"/>
          <w:color w:val="111111"/>
          <w:sz w:val="20"/>
          <w:szCs w:val="20"/>
        </w:rPr>
        <w:t xml:space="preserve">The system exposes a REST API (JSON over HTTPS) for integration with the Loan Origination System and any other authorised consumer. All endpoints require authentication via API key passed in the request header.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2360"/>
        <w:gridCol w:w="2800"/>
      </w:tblGrid>
      <w:tr>
        <w:tc>
          <w:tcPr>
            <w:tcW w:type="dxa" w:w="16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Endpoint</w:t>
            </w:r>
          </w:p>
        </w:tc>
        <w:tc>
          <w:tcPr>
            <w:tcW w:type="dxa" w:w="12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Method</w:t>
            </w:r>
          </w:p>
        </w:tc>
        <w:tc>
          <w:tcPr>
            <w:tcW w:type="dxa" w:w="14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Input</w:t>
            </w:r>
          </w:p>
        </w:tc>
        <w:tc>
          <w:tcPr>
            <w:tcW w:type="dxa" w:w="236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Response</w:t>
            </w:r>
          </w:p>
        </w:tc>
        <w:tc>
          <w:tcPr>
            <w:tcW w:type="dxa" w:w="2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POST /score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JSON payload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200 OK + score response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Submit a single application for real-time fraud scoring</w:t>
            </w:r>
          </w:p>
        </w:tc>
      </w:tr>
      <w:tr>
        <w:tc>
          <w:tcPr>
            <w:tcW w:type="dxa" w:w="1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POST /score/batch</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c>
          <w:tcPr>
            <w:tcW w:type="dxa" w:w="1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CSV or JSON array</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202 Accepted + job ID</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Submit a batch of applications for asynchronous scoring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GET /score/{id}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GET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Application ID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200 OK + full result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Retrieve the stored score and SHAP output for a past application</w:t>
            </w:r>
          </w:p>
        </w:tc>
      </w:tr>
      <w:tr>
        <w:tc>
          <w:tcPr>
            <w:tcW w:type="dxa" w:w="1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GET /health</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GET</w:t>
            </w:r>
          </w:p>
        </w:tc>
        <w:tc>
          <w:tcPr>
            <w:tcW w:type="dxa" w:w="1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None</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200 OK + status JSON</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Returns model version, last retrain date, and service status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GET /audit/{id}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GET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Application ID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200 OK + audit record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Retrieve the full audit log entry for a given application ID</w:t>
            </w:r>
          </w:p>
        </w:tc>
      </w:tr>
      <w:tr>
        <w:tc>
          <w:tcPr>
            <w:tcW w:type="dxa" w:w="1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PUT /threshold</w:t>
            </w:r>
          </w:p>
        </w:tc>
        <w:tc>
          <w:tcPr>
            <w:tcW w:type="dxa" w:w="1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PUT</w:t>
            </w:r>
          </w:p>
        </w:tc>
        <w:tc>
          <w:tcPr>
            <w:tcW w:type="dxa" w:w="1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JSON config</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200 OK</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Update fraud score threshold values without code redeployment (admin only)</w:t>
            </w:r>
          </w:p>
        </w:tc>
      </w:tr>
    </w:tbl>
    <w:p>
      <w:pPr>
        <w:spacing w:before="60" w:after="60"/>
      </w:pPr>
      <w:r>
        <w:t xml:space="preserve"/>
      </w:r>
    </w:p>
    <w:p>
      <w:pPr>
        <w:spacing w:before="160" w:after="60"/>
      </w:pPr>
      <w:r>
        <w:rPr>
          <w:rFonts w:ascii="Arial" w:cs="Arial" w:eastAsia="Arial" w:hAnsi="Arial"/>
          <w:b/>
          <w:bCs/>
          <w:color w:val="000000"/>
          <w:sz w:val="20"/>
          <w:szCs w:val="20"/>
        </w:rPr>
        <w:t xml:space="preserve">Sample Scoring Request (POST /score)</w:t>
      </w:r>
    </w:p>
    <w:p>
      <w:pPr>
        <w:spacing w:before="60" w:after="60"/>
      </w:pPr>
      <w:r>
        <w:rPr>
          <w:rFonts w:ascii="Arial" w:cs="Arial" w:eastAsia="Arial" w:hAnsi="Arial"/>
          <w:color w:val="111111"/>
          <w:sz w:val="20"/>
          <w:szCs w:val="20"/>
        </w:rPr>
        <w:t xml:space="preserve">{ "application_id": "APP-00123", "Age": 35, "CreditScore": 640, "IncomeLevel": 45000, "LoanAmountRequested": 120000, "ApplicationBehavior": "Rapid", "LocationofApplication": "Unusual", "Blacklists": "No", "PastFinancialMalpractices": "Yes", ... }</w:t>
      </w:r>
    </w:p>
    <w:p>
      <w:pPr>
        <w:spacing w:before="160" w:after="60"/>
      </w:pPr>
      <w:r>
        <w:rPr>
          <w:rFonts w:ascii="Arial" w:cs="Arial" w:eastAsia="Arial" w:hAnsi="Arial"/>
          <w:b/>
          <w:bCs/>
          <w:color w:val="000000"/>
          <w:sz w:val="20"/>
          <w:szCs w:val="20"/>
        </w:rPr>
        <w:t xml:space="preserve">Sample Scoring Response</w:t>
      </w:r>
    </w:p>
    <w:p>
      <w:pPr>
        <w:spacing w:before="60" w:after="60"/>
      </w:pPr>
      <w:r>
        <w:rPr>
          <w:rFonts w:ascii="Arial" w:cs="Arial" w:eastAsia="Arial" w:hAnsi="Arial"/>
          <w:color w:val="111111"/>
          <w:sz w:val="20"/>
          <w:szCs w:val="20"/>
        </w:rPr>
        <w:t xml:space="preserve">{ "application_id": "APP-00123", "fraud_probability": 0.83, "risk_score": 83, "decision": "High", "action": "Manual Review Required", "top_features": [{"feature": "PastFinancialMalpractices", "impact": "+0.31"}, {"feature": "ApplicationBehavior", "impact": "+0.22"}, ...], "timestamp": "2026-03-20T14:35:02Z" }</w:t>
      </w:r>
    </w:p>
    <w:p>
      <w:pPr>
        <w:spacing w:before="60" w:after="60"/>
      </w:pPr>
      <w:r>
        <w:t xml:space="preserve"/>
      </w:r>
    </w:p>
    <w:p>
      <w:pPr>
        <w:spacing w:before="280" w:after="100"/>
      </w:pPr>
      <w:r>
        <w:rPr>
          <w:rFonts w:ascii="Arial" w:cs="Arial" w:eastAsia="Arial" w:hAnsi="Arial"/>
          <w:b/>
          <w:bCs/>
          <w:color w:val="000000"/>
          <w:sz w:val="22"/>
          <w:szCs w:val="22"/>
        </w:rPr>
        <w:t xml:space="preserve">10.  Error &amp; Edge Case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2400"/>
        <w:gridCol w:w="2000"/>
      </w:tblGrid>
      <w:tr>
        <w:tc>
          <w:tcPr>
            <w:tcW w:type="dxa" w:w="26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Scenario</w:t>
            </w:r>
          </w:p>
        </w:tc>
        <w:tc>
          <w:tcPr>
            <w:tcW w:type="dxa" w:w="236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System Response</w:t>
            </w:r>
          </w:p>
        </w:tc>
        <w:tc>
          <w:tcPr>
            <w:tcW w:type="dxa" w:w="24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Outcome</w:t>
            </w:r>
          </w:p>
        </w:tc>
        <w:tc>
          <w:tcPr>
            <w:tcW w:type="dxa" w:w="20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Ref</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Missing CreditScore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Flag for manual review; log data quality warning; do not score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Manual review queue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FR-12</w:t>
            </w:r>
          </w:p>
        </w:tc>
      </w:tr>
      <w:tr>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Missing mandatory field (any)</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Route to manual review; log warning; alert data team</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Manual review queue</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FR-12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Applicant on Blacklist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Auto-reject before scoring; notify compliance; write audit log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Rejected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FR-06</w:t>
            </w:r>
          </w:p>
        </w:tc>
      </w:tr>
      <w:tr>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Invalid field value (out of range)</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Reject record; return validation error response; log details</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Error queue</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FR-02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Model service unavailable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Route to manual review; trigger IT alert; never auto-approve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Manual review queue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FR-13</w:t>
            </w:r>
          </w:p>
        </w:tc>
      </w:tr>
      <w:tr>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API timeout (&gt; 10 seconds)</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Default to manual review; log timeout event; alert IT</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Manual review queue</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FR-13</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Duplicate application ID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Reject with duplicate error; do not score; log warning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Error queue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FR-02</w:t>
            </w:r>
          </w:p>
        </w:tc>
      </w:tr>
      <w:tr>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PII field detected in payload</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Strip PII; log security warning; proceed with cleaned record</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Score with cleaned data</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FR-11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Malformed JSON / CSV payload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Return 400 Bad Request; log malformed payload ID; alert sender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Error queue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FR-01</w:t>
            </w:r>
          </w:p>
        </w:tc>
      </w:tr>
      <w:tr>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Inconsistent data (ConsistencyinData = Inconsistent)</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Score normally; SHAP will surface as top feature; flag to reviewer</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High flag likely</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FR-08</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Score exactly on threshold (= 75)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Treated as High risk; routed to manual review queue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Manual review queue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FR-07</w:t>
            </w:r>
          </w:p>
        </w:tc>
      </w:tr>
      <w:tr>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Audit log write failure</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Halt scoring for that record; retry 3 times; alert IT on failure</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Scoring paused</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val="false"/>
                <w:bCs w:val="false"/>
                <w:color w:val="111111"/>
                <w:sz w:val="18"/>
                <w:szCs w:val="18"/>
              </w:rPr>
              <w:t xml:space="preserve">FR-09</w:t>
            </w:r>
          </w:p>
        </w:tc>
      </w:tr>
    </w:tbl>
    <w:p>
      <w:pPr>
        <w:spacing w:before="60" w:after="60"/>
      </w:pPr>
      <w:r>
        <w:t xml:space="preserve"/>
      </w:r>
    </w:p>
    <w:p>
      <w:pPr>
        <w:spacing w:before="280" w:after="100"/>
      </w:pPr>
      <w:r>
        <w:rPr>
          <w:rFonts w:ascii="Arial" w:cs="Arial" w:eastAsia="Arial" w:hAnsi="Arial"/>
          <w:b/>
          <w:bCs/>
          <w:color w:val="000000"/>
          <w:sz w:val="22"/>
          <w:szCs w:val="22"/>
        </w:rPr>
        <w:t xml:space="preserve">11.  Assumptions &amp; Constraints</w:t>
      </w:r>
    </w:p>
    <w:p>
      <w:pPr>
        <w:spacing w:before="160" w:after="60"/>
      </w:pPr>
      <w:r>
        <w:rPr>
          <w:rFonts w:ascii="Arial" w:cs="Arial" w:eastAsia="Arial" w:hAnsi="Arial"/>
          <w:b/>
          <w:bCs/>
          <w:color w:val="000000"/>
          <w:sz w:val="20"/>
          <w:szCs w:val="20"/>
        </w:rPr>
        <w:t xml:space="preserve">Assumptions</w:t>
      </w:r>
    </w:p>
    <w:p>
      <w:pPr>
        <w:pStyle w:val="ListParagraph"/>
        <w:numPr>
          <w:ilvl w:val="0"/>
          <w:numId w:val="2"/>
        </w:numPr>
        <w:spacing w:before="40" w:after="40"/>
      </w:pPr>
      <w:r>
        <w:rPr>
          <w:rFonts w:ascii="Arial" w:cs="Arial" w:eastAsia="Arial" w:hAnsi="Arial"/>
          <w:color w:val="111111"/>
          <w:sz w:val="20"/>
          <w:szCs w:val="20"/>
        </w:rPr>
        <w:t xml:space="preserve">The Loan Origination System can make outbound REST API calls and consume JSON responses; no changes to the LOS UI or core logic are required.</w:t>
      </w:r>
    </w:p>
    <w:p>
      <w:pPr>
        <w:pStyle w:val="ListParagraph"/>
        <w:numPr>
          <w:ilvl w:val="0"/>
          <w:numId w:val="2"/>
        </w:numPr>
        <w:spacing w:before="40" w:after="40"/>
      </w:pPr>
      <w:r>
        <w:rPr>
          <w:rFonts w:ascii="Arial" w:cs="Arial" w:eastAsia="Arial" w:hAnsi="Arial"/>
          <w:color w:val="111111"/>
          <w:sz w:val="20"/>
          <w:szCs w:val="20"/>
        </w:rPr>
        <w:t xml:space="preserve">The model artefact and feature pipeline are versioned together in the model registry; a mismatch between model version and pipeline version is treated as a deployment error.</w:t>
      </w:r>
    </w:p>
    <w:p>
      <w:pPr>
        <w:pStyle w:val="ListParagraph"/>
        <w:numPr>
          <w:ilvl w:val="0"/>
          <w:numId w:val="2"/>
        </w:numPr>
        <w:spacing w:before="40" w:after="40"/>
      </w:pPr>
      <w:r>
        <w:rPr>
          <w:rFonts w:ascii="Arial" w:cs="Arial" w:eastAsia="Arial" w:hAnsi="Arial"/>
          <w:color w:val="111111"/>
          <w:sz w:val="20"/>
          <w:szCs w:val="20"/>
        </w:rPr>
        <w:t xml:space="preserve">All 29 input fields are available at the point of application submission; partial records are the exception, not the norm.</w:t>
      </w:r>
    </w:p>
    <w:p>
      <w:pPr>
        <w:pStyle w:val="ListParagraph"/>
        <w:numPr>
          <w:ilvl w:val="0"/>
          <w:numId w:val="2"/>
        </w:numPr>
        <w:spacing w:before="40" w:after="40"/>
      </w:pPr>
      <w:r>
        <w:rPr>
          <w:rFonts w:ascii="Arial" w:cs="Arial" w:eastAsia="Arial" w:hAnsi="Arial"/>
          <w:color w:val="111111"/>
          <w:sz w:val="20"/>
          <w:szCs w:val="20"/>
        </w:rPr>
        <w:t xml:space="preserve">The admin threshold update endpoint is access-controlled and available only to authorised risk management personnel.</w:t>
      </w:r>
    </w:p>
    <w:p>
      <w:pPr>
        <w:spacing w:before="160" w:after="60"/>
      </w:pPr>
      <w:r>
        <w:rPr>
          <w:rFonts w:ascii="Arial" w:cs="Arial" w:eastAsia="Arial" w:hAnsi="Arial"/>
          <w:b/>
          <w:bCs/>
          <w:color w:val="000000"/>
          <w:sz w:val="20"/>
          <w:szCs w:val="20"/>
        </w:rPr>
        <w:t xml:space="preserve">Constraints</w:t>
      </w:r>
    </w:p>
    <w:p>
      <w:pPr>
        <w:pStyle w:val="ListParagraph"/>
        <w:numPr>
          <w:ilvl w:val="0"/>
          <w:numId w:val="2"/>
        </w:numPr>
        <w:spacing w:before="40" w:after="40"/>
      </w:pPr>
      <w:r>
        <w:rPr>
          <w:rFonts w:ascii="Arial" w:cs="Arial" w:eastAsia="Arial" w:hAnsi="Arial"/>
          <w:color w:val="111111"/>
          <w:sz w:val="20"/>
          <w:szCs w:val="20"/>
        </w:rPr>
        <w:t xml:space="preserve">The system must never auto-approve an application as a result of a system failure, timeout, or missing data. The fail-safe default is always manual review.</w:t>
      </w:r>
    </w:p>
    <w:p>
      <w:pPr>
        <w:pStyle w:val="ListParagraph"/>
        <w:numPr>
          <w:ilvl w:val="0"/>
          <w:numId w:val="2"/>
        </w:numPr>
        <w:spacing w:before="40" w:after="40"/>
      </w:pPr>
      <w:r>
        <w:rPr>
          <w:rFonts w:ascii="Arial" w:cs="Arial" w:eastAsia="Arial" w:hAnsi="Arial"/>
          <w:color w:val="111111"/>
          <w:sz w:val="20"/>
          <w:szCs w:val="20"/>
        </w:rPr>
        <w:t xml:space="preserve">PII must not appear in any log, audit entry, SHAP output, or API response under any circumstance.</w:t>
      </w:r>
    </w:p>
    <w:p>
      <w:pPr>
        <w:pStyle w:val="ListParagraph"/>
        <w:numPr>
          <w:ilvl w:val="0"/>
          <w:numId w:val="2"/>
        </w:numPr>
        <w:spacing w:before="40" w:after="40"/>
      </w:pPr>
      <w:r>
        <w:rPr>
          <w:rFonts w:ascii="Arial" w:cs="Arial" w:eastAsia="Arial" w:hAnsi="Arial"/>
          <w:color w:val="111111"/>
          <w:sz w:val="20"/>
          <w:szCs w:val="20"/>
        </w:rPr>
        <w:t xml:space="preserve">v1.0 supports a single model at a time in production. A/B testing across two live models simultaneously is deferred to v1.1 (FR-20 equivalent).</w:t>
      </w:r>
    </w:p>
    <w:p>
      <w:pPr>
        <w:pStyle w:val="ListParagraph"/>
        <w:numPr>
          <w:ilvl w:val="0"/>
          <w:numId w:val="2"/>
        </w:numPr>
        <w:spacing w:before="40" w:after="40"/>
      </w:pPr>
      <w:r>
        <w:rPr>
          <w:rFonts w:ascii="Arial" w:cs="Arial" w:eastAsia="Arial" w:hAnsi="Arial"/>
          <w:color w:val="111111"/>
          <w:sz w:val="20"/>
          <w:szCs w:val="20"/>
        </w:rPr>
        <w:t xml:space="preserve">The fraud threshold default of 75 may be adjusted by an admin but must remain within the range 50–90; values outside this range are rejected by the configuration endpoint.</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2026-03-20T05:33:39.591Z</dcterms:created>
  <dcterms:modified xsi:type="dcterms:W3CDTF">2026-03-20T05:33:39.592Z</dcterms:modified>
</cp:coreProperties>
</file>

<file path=docProps/custom.xml><?xml version="1.0" encoding="utf-8"?>
<Properties xmlns="http://schemas.openxmlformats.org/officeDocument/2006/custom-properties" xmlns:vt="http://schemas.openxmlformats.org/officeDocument/2006/docPropsVTypes"/>
</file>