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00000"/>
          <w:sz w:val="52"/>
          <w:szCs w:val="52"/>
        </w:rPr>
        <w:t xml:space="preserve">PROCESS FLOW DOCUMENT</w:t>
      </w:r>
    </w:p>
    <w:p>
      <w:pPr>
        <w:spacing w:before="0" w:after="60"/>
      </w:pPr>
      <w:r>
        <w:rPr>
          <w:rFonts w:ascii="Arial" w:cs="Arial" w:eastAsia="Arial" w:hAnsi="Arial"/>
          <w:color w:val="444444"/>
          <w:sz w:val="26"/>
          <w:szCs w:val="26"/>
        </w:rPr>
        <w:t xml:space="preserve">Loan Application Lifecycle — Fraud Detection System</w:t>
      </w:r>
    </w:p>
    <w:p>
      <w:pPr>
        <w:spacing w:before="0" w:after="0"/>
      </w:pPr>
      <w:r>
        <w:rPr>
          <w:rFonts w:ascii="Arial" w:cs="Arial" w:eastAsia="Arial" w:hAnsi="Arial"/>
          <w:color w:val="444444"/>
          <w:sz w:val="19"/>
          <w:szCs w:val="19"/>
        </w:rPr>
        <w:t xml:space="preserve">Version 1.0   |   March 2026   |   Solo Project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Project Name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Detection System — Loan Applications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Version</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1.0</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Date</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20 March 2026</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Prepared By</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Solo Project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Status</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Draft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Document ID</w:t>
            </w:r>
          </w:p>
        </w:tc>
        <w:tc>
          <w:tcPr>
            <w:tcW w:type="dxa" w:w="7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FDS-PF-001</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Related Docs</w:t>
            </w:r>
          </w:p>
        </w:tc>
        <w:tc>
          <w:tcPr>
            <w:tcW w:type="dxa" w:w="7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FDS-BRD-001 (BRD), FDS-FRD-001 (FRD), FDS-DD-001 (Data Dictionary)</w:t>
            </w:r>
          </w:p>
        </w:tc>
      </w:tr>
    </w:tbl>
    <w:p>
      <w:pPr>
        <w:spacing w:before="60" w:after="60"/>
      </w:pPr>
      <w:r>
        <w:t xml:space="preserve"/>
      </w:r>
    </w:p>
    <w:p>
      <w:pPr>
        <w:spacing w:before="280" w:after="100"/>
      </w:pPr>
      <w:r>
        <w:rPr>
          <w:rFonts w:ascii="Arial" w:cs="Arial" w:eastAsia="Arial" w:hAnsi="Arial"/>
          <w:b/>
          <w:bCs/>
          <w:color w:val="000000"/>
          <w:sz w:val="22"/>
          <w:szCs w:val="22"/>
        </w:rPr>
        <w:t xml:space="preserve">1.  Purpose</w:t>
      </w:r>
    </w:p>
    <w:p>
      <w:pPr>
        <w:spacing w:before="60" w:after="60"/>
      </w:pPr>
      <w:r>
        <w:rPr>
          <w:rFonts w:ascii="Arial" w:cs="Arial" w:eastAsia="Arial" w:hAnsi="Arial"/>
          <w:color w:val="111111"/>
          <w:sz w:val="20"/>
          <w:szCs w:val="20"/>
        </w:rPr>
        <w:t xml:space="preserve">This document describes the end-to-end lifecycle of a loan application as it passes through the Fraud Detection System. It defines each step in the process, the actor responsible for that step, the decisions or branches that can occur, and the system behaviours and SLAs that govern each transition.</w:t>
      </w:r>
    </w:p>
    <w:p>
      <w:pPr>
        <w:spacing w:before="60" w:after="60"/>
      </w:pPr>
      <w:r>
        <w:rPr>
          <w:rFonts w:ascii="Arial" w:cs="Arial" w:eastAsia="Arial" w:hAnsi="Arial"/>
          <w:color w:val="111111"/>
          <w:sz w:val="20"/>
          <w:szCs w:val="20"/>
        </w:rPr>
        <w:t xml:space="preserve">This document is intended to serve as the reference for process design, UAT test case development, and operational runbook creation. It should be read alongside the Functional Requirements Document (FDS-FRD-001) which specifies what the system must do, and the BRD (FDS-BRD-001) which defines why.</w:t>
      </w:r>
    </w:p>
    <w:p>
      <w:pPr>
        <w:spacing w:before="60" w:after="60"/>
      </w:pPr>
      <w:r>
        <w:t xml:space="preserve"/>
      </w:r>
    </w:p>
    <w:p>
      <w:pPr>
        <w:spacing w:before="280" w:after="100"/>
      </w:pPr>
      <w:r>
        <w:rPr>
          <w:rFonts w:ascii="Arial" w:cs="Arial" w:eastAsia="Arial" w:hAnsi="Arial"/>
          <w:b/>
          <w:bCs/>
          <w:color w:val="000000"/>
          <w:sz w:val="22"/>
          <w:szCs w:val="22"/>
        </w:rPr>
        <w:t xml:space="preserve">2.  Actors &amp; Responsibilities</w:t>
      </w:r>
    </w:p>
    <w:p>
      <w:pPr>
        <w:spacing w:before="60" w:after="60"/>
      </w:pPr>
      <w:r>
        <w:rPr>
          <w:rFonts w:ascii="Arial" w:cs="Arial" w:eastAsia="Arial" w:hAnsi="Arial"/>
          <w:color w:val="111111"/>
          <w:sz w:val="20"/>
          <w:szCs w:val="20"/>
        </w:rPr>
        <w:t xml:space="preserve">The following actors participate in the loan application lifecycle. In the context of this solo project, all actor roles are simulated by the project owner for design and testing purposes.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Actor</w:t>
            </w:r>
          </w:p>
        </w:tc>
        <w:tc>
          <w:tcPr>
            <w:tcW w:type="dxa" w:w="18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Type</w:t>
            </w:r>
          </w:p>
        </w:tc>
        <w:tc>
          <w:tcPr>
            <w:tcW w:type="dxa" w:w="57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Responsibility in This Process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Applicant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External</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Initiates the process by submitting a loan application with all required information</w:t>
            </w:r>
          </w:p>
        </w:tc>
      </w:tr>
      <w:tr>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System</w:t>
            </w:r>
          </w:p>
        </w:tc>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Automated</w:t>
            </w:r>
          </w:p>
        </w:tc>
        <w:tc>
          <w:tcPr>
            <w:tcW w:type="dxa" w:w="57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Receives, validates, preprocesses, scores, logs, and notifies — no human intervention required for these steps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Fraud Model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Automated</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Executes feature engineering and ML scoring; returns fraud probability and decision label</w:t>
            </w:r>
          </w:p>
        </w:tc>
      </w:tr>
      <w:tr>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Risk Analyst</w:t>
            </w:r>
          </w:p>
        </w:tc>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57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Reviews all High-risk flagged applications and Medium-risk cases escalated by loan officers; makes Approve / Reject / Refer decision</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Compliance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57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Receives cases referred by the Risk Analyst; makes final decision on high-stakes or ambiguous fraud cases</w:t>
            </w:r>
          </w:p>
        </w:tc>
      </w:tr>
      <w:tr>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Operations</w:t>
            </w:r>
          </w:p>
        </w:tc>
        <w:tc>
          <w:tcPr>
            <w:tcW w:type="dxa" w:w="18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Internal</w:t>
            </w:r>
          </w:p>
        </w:tc>
        <w:tc>
          <w:tcPr>
            <w:tcW w:type="dxa" w:w="57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Processes approved loans through disbursement and account setup; operates downstream of the FDS</w:t>
            </w:r>
          </w:p>
        </w:tc>
      </w:tr>
    </w:tbl>
    <w:p>
      <w:pPr>
        <w:spacing w:before="60" w:after="60"/>
      </w:pPr>
      <w:r>
        <w:t xml:space="preserve"/>
      </w:r>
    </w:p>
    <w:p>
      <w:pPr>
        <w:spacing w:before="280" w:after="100"/>
      </w:pPr>
      <w:r>
        <w:rPr>
          <w:rFonts w:ascii="Arial" w:cs="Arial" w:eastAsia="Arial" w:hAnsi="Arial"/>
          <w:b/>
          <w:bCs/>
          <w:color w:val="000000"/>
          <w:sz w:val="22"/>
          <w:szCs w:val="22"/>
        </w:rPr>
        <w:t xml:space="preserve">3.  Process Flow — Swimlane Table</w:t>
      </w:r>
    </w:p>
    <w:p>
      <w:pPr>
        <w:spacing w:before="60" w:after="60"/>
      </w:pPr>
      <w:r>
        <w:rPr>
          <w:rFonts w:ascii="Arial" w:cs="Arial" w:eastAsia="Arial" w:hAnsi="Arial"/>
          <w:color w:val="111111"/>
          <w:sz w:val="20"/>
          <w:szCs w:val="20"/>
        </w:rPr>
        <w:t xml:space="preserve">The table below represents the full loan application lifecycle in swimlane format. Each row corresponds to one process step, grouped by the actor responsible for that step.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3060"/>
        <w:gridCol w:w="2600"/>
        <w:gridCol w:w="1600"/>
      </w:tblGrid>
      <w:tr>
        <w:trPr>
          <w:tblHeader/>
        </w:trPr>
        <w:tc>
          <w:tcPr>
            <w:tcW w:type="dxa" w:w="1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Actor</w:t>
            </w:r>
          </w:p>
        </w:tc>
        <w:tc>
          <w:tcPr>
            <w:tcW w:type="dxa" w:w="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Step</w:t>
            </w:r>
          </w:p>
        </w:tc>
        <w:tc>
          <w:tcPr>
            <w:tcW w:type="dxa" w:w="30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Action</w:t>
            </w:r>
          </w:p>
        </w:tc>
        <w:tc>
          <w:tcPr>
            <w:tcW w:type="dxa" w:w="2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Outcome / Branch</w:t>
            </w:r>
          </w:p>
        </w:tc>
        <w:tc>
          <w:tcPr>
            <w:tcW w:type="dxa" w:w="1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Reference</w:t>
            </w:r>
          </w:p>
        </w:tc>
      </w:tr>
      <w:tr>
        <w:tc>
          <w:tcPr>
            <w:tcW w:type="dxa" w:w="16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APPLICANT</w:t>
            </w:r>
          </w:p>
        </w:tc>
        <w:tc>
          <w:tcPr>
            <w:tcW w:type="dxa" w:w="5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1</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Submits loan application via digital portal or branch. Provides all personal, financial, and behavioural information required by the application form.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Application received by system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w:t>
            </w:r>
          </w:p>
        </w:tc>
      </w:tr>
      <w:tr>
        <w:tc>
          <w:tcPr>
            <w:tcW w:type="dxa" w:w="1600"/>
            <w:vMerge w:val="restart"/>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SYSTEM</w:t>
            </w:r>
          </w:p>
        </w:tc>
        <w:tc>
          <w:tcPr>
            <w:tcW w:type="dxa" w:w="500"/>
            <w:tcBorders>
              <w:top w:val="single" w:color="CCCCCC" w:sz="4"/>
              <w:left w:val="single" w:color="CCCCCC" w:sz="4"/>
              <w:bottom w:val="single" w:color="CCCCCC" w:sz="4"/>
              <w:right w:val="single" w:color="CCCCCC" w:sz="4"/>
            </w:tcBorders>
            <w:shd w:fill="F0F0F0"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2</w:t>
            </w:r>
          </w:p>
        </w:tc>
        <w:tc>
          <w:tcPr>
            <w:tcW w:type="dxa" w:w="3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Receives application payload (JSON via API or CSV via batch upload). Assigns a unique Application ID and timestamps the record.</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Record created; proceeds to validation</w:t>
            </w:r>
          </w:p>
        </w:tc>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FR-01</w:t>
            </w:r>
          </w:p>
        </w:tc>
      </w:tr>
      <w:tr>
        <w:tc>
          <w:tcPr>
            <w:vMerge w:val="continue"/>
            <w:tcBorders>
              <w:top w:val="single" w:color="CCCCCC" w:sz="4"/>
              <w:left w:val="single" w:color="CCCCCC" w:sz="4"/>
              <w:bottom w:val="single" w:color="CCCCCC" w:sz="4"/>
              <w:right w:val="single" w:color="CCCCCC" w:sz="4"/>
            </w:tcBorders>
          </w:tcPr>
          <w:p/>
        </w:tc>
        <w:tc>
          <w:tcPr>
            <w:tcW w:type="dxa" w:w="5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3</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Validates all 29 input fields against defined data type, range, and allowable-value rules. Checks for missing mandatory fields.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PASS: proceed to Step 4
FAIL: return validation error to applicant; log data quality warning; halt processing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FR-02
Checkpoint 1</w:t>
            </w:r>
          </w:p>
        </w:tc>
      </w:tr>
      <w:tr>
        <w:tc>
          <w:tcPr>
            <w:vMerge w:val="continue"/>
            <w:tcBorders>
              <w:top w:val="single" w:color="CCCCCC" w:sz="4"/>
              <w:left w:val="single" w:color="CCCCCC" w:sz="4"/>
              <w:bottom w:val="single" w:color="CCCCCC" w:sz="4"/>
              <w:right w:val="single" w:color="CCCCCC" w:sz="4"/>
            </w:tcBorders>
          </w:tcPr>
          <w:p/>
        </w:tc>
        <w:tc>
          <w:tcPr>
            <w:tcW w:type="dxa" w:w="500"/>
            <w:tcBorders>
              <w:top w:val="single" w:color="CCCCCC" w:sz="4"/>
              <w:left w:val="single" w:color="CCCCCC" w:sz="4"/>
              <w:bottom w:val="single" w:color="CCCCCC" w:sz="4"/>
              <w:right w:val="single" w:color="CCCCCC" w:sz="4"/>
            </w:tcBorders>
            <w:shd w:fill="F0F0F0"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3b</w:t>
            </w:r>
          </w:p>
        </w:tc>
        <w:tc>
          <w:tcPr>
            <w:tcW w:type="dxa" w:w="3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Pre-score blacklist check. System checks whether Blacklists field is Yes before any model processing occurs.</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YES (blacklisted): auto-reject; notify compliance; write audit log; stop
NO: continue to Step 4</w:t>
            </w:r>
          </w:p>
        </w:tc>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FR-06
BR-RULE-01</w:t>
            </w:r>
          </w:p>
        </w:tc>
      </w:tr>
      <w:tr>
        <w:tc>
          <w:tcPr>
            <w:tcW w:type="dxa" w:w="1600"/>
            <w:vMerge w:val="restart"/>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FRAUD
MODEL</w:t>
            </w:r>
          </w:p>
        </w:tc>
        <w:tc>
          <w:tcPr>
            <w:tcW w:type="dxa" w:w="5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4</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Preprocessing pipeline executes: PII fields stripped, categorical fields encoded, derived features calculated (LoanToIncomeRatio, HourOfApplication, IsRapidAndUnusual, etc.).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Feature vector assembled; passed to scoring engine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FR-03
FDS-DD-001</w:t>
            </w:r>
          </w:p>
        </w:tc>
      </w:tr>
      <w:tr>
        <w:tc>
          <w:tcPr>
            <w:vMerge w:val="continue"/>
            <w:tcBorders>
              <w:top w:val="single" w:color="CCCCCC" w:sz="4"/>
              <w:left w:val="single" w:color="CCCCCC" w:sz="4"/>
              <w:bottom w:val="single" w:color="CCCCCC" w:sz="4"/>
              <w:right w:val="single" w:color="CCCCCC" w:sz="4"/>
            </w:tcBorders>
          </w:tcPr>
          <w:p/>
        </w:tc>
        <w:tc>
          <w:tcPr>
            <w:tcW w:type="dxa" w:w="500"/>
            <w:tcBorders>
              <w:top w:val="single" w:color="CCCCCC" w:sz="4"/>
              <w:left w:val="single" w:color="CCCCCC" w:sz="4"/>
              <w:bottom w:val="single" w:color="CCCCCC" w:sz="4"/>
              <w:right w:val="single" w:color="CCCCCC" w:sz="4"/>
            </w:tcBorders>
            <w:shd w:fill="F0F0F0"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5</w:t>
            </w:r>
          </w:p>
        </w:tc>
        <w:tc>
          <w:tcPr>
            <w:tcW w:type="dxa" w:w="3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Trained ML model scores the feature vector and returns a fraud probability (0.00–1.00), converted to a 0–100 risk score. Threshold rules applied to assign decision label.</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Score 0–40 (Low): auto-proceed to Step 9
Score 41–74 (Medium): soft flag; SHAP generated; loan officer notified
Score 75–100 (High): hard flag; routed to manual review queue (Step 6)</w:t>
            </w:r>
          </w:p>
        </w:tc>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FR-04, FR-05
FR-07, FR-08
Checkpoint 2</w:t>
            </w:r>
          </w:p>
        </w:tc>
      </w:tr>
      <w:tr>
        <w:tc>
          <w:tcPr>
            <w:tcW w:type="dxa" w:w="16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RISK
ANALYST</w:t>
            </w:r>
          </w:p>
        </w:tc>
        <w:tc>
          <w:tcPr>
            <w:tcW w:type="dxa" w:w="5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6</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Reviews flagged application in the manual review queue. Examines: fraud risk score (0–100), top 5 SHAP feature contributors, applicant history, and supporting documents.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APPROVE: proceed to Step 9
REJECT: notify applicant; write audit log
REFER: escalate to Compliance (Step 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FR-07, FR-08
FR-09
Checkpoint 3</w:t>
            </w:r>
          </w:p>
        </w:tc>
      </w:tr>
      <w:tr>
        <w:tc>
          <w:tcPr>
            <w:tcW w:type="dxa" w:w="16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COMPLIANCE</w:t>
            </w:r>
          </w:p>
        </w:tc>
        <w:tc>
          <w:tcPr>
            <w:tcW w:type="dxa" w:w="500"/>
            <w:tcBorders>
              <w:top w:val="single" w:color="CCCCCC" w:sz="4"/>
              <w:left w:val="single" w:color="CCCCCC" w:sz="4"/>
              <w:bottom w:val="single" w:color="CCCCCC" w:sz="4"/>
              <w:right w:val="single" w:color="CCCCCC" w:sz="4"/>
            </w:tcBorders>
            <w:shd w:fill="F0F0F0"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7</w:t>
            </w:r>
          </w:p>
        </w:tc>
        <w:tc>
          <w:tcPr>
            <w:tcW w:type="dxa" w:w="3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Reviews escalated cases referred by the Risk Analyst. Has access to full application record, audit trail, and SHAP explanation. Makes final decision on high-stakes or ambiguous cases.</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APPROVE: proceed to Step 9
REJECT: notify applicant; write audit log; close case</w:t>
            </w:r>
          </w:p>
        </w:tc>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BR-03
Checkpoint 4</w:t>
            </w:r>
          </w:p>
        </w:tc>
      </w:tr>
      <w:tr>
        <w:tc>
          <w:tcPr>
            <w:tcW w:type="dxa" w:w="1600"/>
            <w:vMerge w:val="restart"/>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SYSTEM</w:t>
            </w:r>
          </w:p>
        </w:tc>
        <w:tc>
          <w:tcPr>
            <w:tcW w:type="dxa" w:w="5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8</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Writes complete audit log entry for every decision made in Steps 5–7. Log contains: Application ID, timestamp, actor, all input features, fraud score, decision label, SHAP output, and decision rationale.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Audit record committed; immutable append-only log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FR-09
FR-19
NFR-03</w:t>
            </w:r>
          </w:p>
        </w:tc>
      </w:tr>
      <w:tr>
        <w:tc>
          <w:tcPr>
            <w:vMerge w:val="continue"/>
            <w:tcBorders>
              <w:top w:val="single" w:color="CCCCCC" w:sz="4"/>
              <w:left w:val="single" w:color="CCCCCC" w:sz="4"/>
              <w:bottom w:val="single" w:color="CCCCCC" w:sz="4"/>
              <w:right w:val="single" w:color="CCCCCC" w:sz="4"/>
            </w:tcBorders>
          </w:tcPr>
          <w:p/>
        </w:tc>
        <w:tc>
          <w:tcPr>
            <w:tcW w:type="dxa" w:w="500"/>
            <w:tcBorders>
              <w:top w:val="single" w:color="CCCCCC" w:sz="4"/>
              <w:left w:val="single" w:color="CCCCCC" w:sz="4"/>
              <w:bottom w:val="single" w:color="CCCCCC" w:sz="4"/>
              <w:right w:val="single" w:color="CCCCCC" w:sz="4"/>
            </w:tcBorders>
            <w:shd w:fill="F0F0F0"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9</w:t>
            </w:r>
          </w:p>
        </w:tc>
        <w:tc>
          <w:tcPr>
            <w:tcW w:type="dxa" w:w="306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Sends outcome notification to the applicant via their registered contact channel. Notification includes decision (Approved / Rejected) and, for rejections, the right to request a review.</w:t>
            </w:r>
          </w:p>
        </w:tc>
        <w:tc>
          <w:tcPr>
            <w:tcW w:type="dxa" w:w="2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Applicant notified; case status updated in LOS</w:t>
            </w:r>
          </w:p>
        </w:tc>
        <w:tc>
          <w:tcPr>
            <w:tcW w:type="dxa" w:w="1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r>
              <w:rPr>
                <w:rFonts w:ascii="Arial" w:cs="Arial" w:eastAsia="Arial" w:hAnsi="Arial"/>
                <w:color w:val="444444"/>
                <w:sz w:val="17"/>
                <w:szCs w:val="17"/>
              </w:rPr>
              <w:t xml:space="preserve">FR-01
BRD BO-3</w:t>
            </w:r>
          </w:p>
        </w:tc>
      </w:tr>
      <w:tr>
        <w:tc>
          <w:tcPr>
            <w:tcW w:type="dxa" w:w="1600"/>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OPERATIONS</w:t>
            </w:r>
          </w:p>
        </w:tc>
        <w:tc>
          <w:tcPr>
            <w:tcW w:type="dxa" w:w="5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vAlign w:val="center"/>
          </w:tcPr>
          <w:p>
            <w:pPr>
              <w:jc w:val="center"/>
            </w:pPr>
            <w:r>
              <w:rPr>
                <w:rFonts w:ascii="Arial" w:cs="Arial" w:eastAsia="Arial" w:hAnsi="Arial"/>
                <w:b/>
                <w:bCs/>
                <w:color w:val="000000"/>
                <w:sz w:val="18"/>
                <w:szCs w:val="18"/>
              </w:rPr>
              <w:t xml:space="preserve">10</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11111"/>
                <w:sz w:val="18"/>
                <w:szCs w:val="18"/>
              </w:rPr>
              <w:t xml:space="preserve">Processes approved loan applications through the standard origination workflow: document verification, fund disbursement, account creation, and repayment schedule setup.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Loan disbursed; repayment schedule active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444444"/>
                <w:sz w:val="17"/>
                <w:szCs w:val="17"/>
              </w:rPr>
              <w:t xml:space="preserve">Out of FDS scope</w:t>
            </w:r>
          </w:p>
        </w:tc>
      </w:tr>
    </w:tbl>
    <w:p>
      <w:pPr>
        <w:spacing w:before="60" w:after="60"/>
      </w:pPr>
      <w:r>
        <w:t xml:space="preserve"/>
      </w:r>
    </w:p>
    <w:p>
      <w:pPr>
        <w:spacing w:before="280" w:after="100"/>
      </w:pPr>
      <w:r>
        <w:rPr>
          <w:rFonts w:ascii="Arial" w:cs="Arial" w:eastAsia="Arial" w:hAnsi="Arial"/>
          <w:b/>
          <w:bCs/>
          <w:color w:val="000000"/>
          <w:sz w:val="22"/>
          <w:szCs w:val="22"/>
        </w:rPr>
        <w:t xml:space="preserve">4.  Key Fraud Checkpoints</w:t>
      </w:r>
    </w:p>
    <w:p>
      <w:pPr>
        <w:spacing w:before="60" w:after="60"/>
      </w:pPr>
      <w:r>
        <w:rPr>
          <w:rFonts w:ascii="Arial" w:cs="Arial" w:eastAsia="Arial" w:hAnsi="Arial"/>
          <w:color w:val="111111"/>
          <w:sz w:val="20"/>
          <w:szCs w:val="20"/>
        </w:rPr>
        <w:t xml:space="preserve">Four checkpoints exist in the process where fraud risk is specifically assessed or acted upon. Each checkpoint must be passed before the application can proceed to the next phase.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560"/>
        <w:gridCol w:w="2500"/>
        <w:gridCol w:w="2200"/>
      </w:tblGrid>
      <w:tr>
        <w:tc>
          <w:tcPr>
            <w:tcW w:type="dxa" w:w="1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Checkpoint</w:t>
            </w:r>
          </w:p>
        </w:tc>
        <w:tc>
          <w:tcPr>
            <w:tcW w:type="dxa" w:w="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Step</w:t>
            </w:r>
          </w:p>
        </w:tc>
        <w:tc>
          <w:tcPr>
            <w:tcW w:type="dxa" w:w="2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Gate Name</w:t>
            </w:r>
          </w:p>
        </w:tc>
        <w:tc>
          <w:tcPr>
            <w:tcW w:type="dxa" w:w="2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What It Catches</w:t>
            </w:r>
          </w:p>
        </w:tc>
        <w:tc>
          <w:tcPr>
            <w:tcW w:type="dxa" w:w="2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Reference</w:t>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Checkpoint 1</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Step 3</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Field Validation</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All 29 fields validated against type, range, and allowable-value rules before any model processing</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FR-02; data quality errors returned immediately</w:t>
            </w:r>
          </w:p>
        </w:tc>
      </w:tr>
      <w:tr>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Checkpoint 2</w:t>
            </w:r>
          </w:p>
        </w:tc>
        <w:tc>
          <w:tcPr>
            <w:tcW w:type="dxa" w:w="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Step 5</w:t>
            </w:r>
          </w:p>
        </w:tc>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Model Scoring Gate</w:t>
            </w:r>
          </w:p>
        </w:tc>
        <w:tc>
          <w:tcPr>
            <w:tcW w:type="dxa" w:w="2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Primary fraud detection gate; every application receives a fraud probability score and decision label</w:t>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FR-04 to FR-08; main ML checkpoint</w:t>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Checkpoint 3</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Step 6</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Manual Review</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Human-in-the-loop override for all High-risk and referred Medium-risk applications; Risk Analyst decision</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FR-07; cannot be bypassed for High-risk cases</w:t>
            </w:r>
          </w:p>
        </w:tc>
      </w:tr>
      <w:tr>
        <w:tc>
          <w:tcPr>
            <w:tcW w:type="dxa" w:w="1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Checkpoint 4</w:t>
            </w:r>
          </w:p>
        </w:tc>
        <w:tc>
          <w:tcPr>
            <w:tcW w:type="dxa" w:w="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Step 7</w:t>
            </w:r>
          </w:p>
        </w:tc>
        <w:tc>
          <w:tcPr>
            <w:tcW w:type="dxa" w:w="2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 Escalation</w:t>
            </w:r>
          </w:p>
        </w:tc>
        <w:tc>
          <w:tcPr>
            <w:tcW w:type="dxa" w:w="2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Final human decision for high-stakes or ambiguous cases referred by the Risk Analyst</w:t>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BR-03; full audit trail required</w:t>
            </w:r>
          </w:p>
        </w:tc>
      </w:tr>
    </w:tbl>
    <w:p>
      <w:pPr>
        <w:spacing w:before="60" w:after="60"/>
      </w:pPr>
      <w:r>
        <w:t xml:space="preserve"/>
      </w:r>
    </w:p>
    <w:p>
      <w:pPr>
        <w:spacing w:before="280" w:after="100"/>
      </w:pPr>
      <w:r>
        <w:rPr>
          <w:rFonts w:ascii="Arial" w:cs="Arial" w:eastAsia="Arial" w:hAnsi="Arial"/>
          <w:b/>
          <w:bCs/>
          <w:color w:val="000000"/>
          <w:sz w:val="22"/>
          <w:szCs w:val="22"/>
        </w:rPr>
        <w:t xml:space="preserve">5.  Decision Matrix</w:t>
      </w:r>
    </w:p>
    <w:p>
      <w:pPr>
        <w:spacing w:before="60" w:after="60"/>
      </w:pPr>
      <w:r>
        <w:rPr>
          <w:rFonts w:ascii="Arial" w:cs="Arial" w:eastAsia="Arial" w:hAnsi="Arial"/>
          <w:color w:val="111111"/>
          <w:sz w:val="20"/>
          <w:szCs w:val="20"/>
        </w:rPr>
        <w:t xml:space="preserve">The table below defines every possible decision state an application can reach, the actor who makes the decision, and whether a human override is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560"/>
        <w:gridCol w:w="1700"/>
        <w:gridCol w:w="1500"/>
        <w:gridCol w:w="1700"/>
      </w:tblGrid>
      <w:tr>
        <w:tc>
          <w:tcPr>
            <w:tcW w:type="dxa" w:w="16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Score / Status</w:t>
            </w:r>
          </w:p>
        </w:tc>
        <w:tc>
          <w:tcPr>
            <w:tcW w:type="dxa" w:w="13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Risk Level</w:t>
            </w:r>
          </w:p>
        </w:tc>
        <w:tc>
          <w:tcPr>
            <w:tcW w:type="dxa" w:w="15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Action</w:t>
            </w:r>
          </w:p>
        </w:tc>
        <w:tc>
          <w:tcPr>
            <w:tcW w:type="dxa" w:w="1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Decision Actor</w:t>
            </w:r>
          </w:p>
        </w:tc>
        <w:tc>
          <w:tcPr>
            <w:tcW w:type="dxa" w:w="15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Override</w:t>
            </w:r>
          </w:p>
        </w:tc>
        <w:tc>
          <w:tcPr>
            <w:tcW w:type="dxa" w:w="1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Notes</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Blacklisted</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N/A</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Auto-Reject</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None</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Pre-score; bypasses model entirely</w:t>
            </w:r>
          </w:p>
        </w:tc>
      </w:tr>
      <w:tr>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0 – 40</w:t>
            </w:r>
          </w:p>
        </w:tc>
        <w:tc>
          <w:tcPr>
            <w:tcW w:type="dxa" w:w="13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Low</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Auto-Proceed</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1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None</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Routed directly to origination</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41 – 74</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Medium</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Soft Flag</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Loan Officer</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Documented note</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Loan officer may approve with justification</w:t>
            </w:r>
          </w:p>
        </w:tc>
      </w:tr>
      <w:tr>
        <w:tc>
          <w:tcPr>
            <w:tcW w:type="dxa" w:w="16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75 – 100</w:t>
            </w:r>
          </w:p>
        </w:tc>
        <w:tc>
          <w:tcPr>
            <w:tcW w:type="dxa" w:w="13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High</w:t>
            </w:r>
          </w:p>
        </w:tc>
        <w:tc>
          <w:tcPr>
            <w:tcW w:type="dxa" w:w="15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Hard Flag</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Analyst</w:t>
            </w:r>
          </w:p>
        </w:tc>
        <w:tc>
          <w:tcPr>
            <w:tcW w:type="dxa" w:w="15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Mandatory</w:t>
            </w:r>
          </w:p>
        </w:tc>
        <w:tc>
          <w:tcPr>
            <w:tcW w:type="dxa" w:w="1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Cannot be approved without analyst sign-off</w:t>
            </w:r>
          </w:p>
        </w:tc>
      </w:tr>
      <w:tr>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Referred (any score)</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High</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Escalated</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Mandatory</w:t>
            </w:r>
          </w:p>
        </w:tc>
        <w:tc>
          <w:tcPr>
            <w:tcW w:type="dxa" w:w="1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Final decision rests with Compliance</w:t>
            </w:r>
          </w:p>
        </w:tc>
      </w:tr>
    </w:tbl>
    <w:p>
      <w:pPr>
        <w:spacing w:before="60" w:after="60"/>
      </w:pPr>
      <w:r>
        <w:t xml:space="preserve"/>
      </w:r>
    </w:p>
    <w:p>
      <w:pPr>
        <w:spacing w:before="280" w:after="100"/>
      </w:pPr>
      <w:r>
        <w:rPr>
          <w:rFonts w:ascii="Arial" w:cs="Arial" w:eastAsia="Arial" w:hAnsi="Arial"/>
          <w:b/>
          <w:bCs/>
          <w:color w:val="000000"/>
          <w:sz w:val="22"/>
          <w:szCs w:val="22"/>
        </w:rPr>
        <w:t xml:space="preserve">6.  Step-Level SLA &amp; Timing</w:t>
      </w:r>
    </w:p>
    <w:p>
      <w:pPr>
        <w:spacing w:before="60" w:after="60"/>
      </w:pPr>
      <w:r>
        <w:rPr>
          <w:rFonts w:ascii="Arial" w:cs="Arial" w:eastAsia="Arial" w:hAnsi="Arial"/>
          <w:color w:val="111111"/>
          <w:sz w:val="20"/>
          <w:szCs w:val="20"/>
        </w:rPr>
        <w:t xml:space="preserve">The following SLAs govern each step in the process. Breaches of target SLA trigger an alert; breaches of maximum tolerance require immediate escalation.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060"/>
        <w:gridCol w:w="2000"/>
        <w:gridCol w:w="2200"/>
      </w:tblGrid>
      <w:tr>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Step</w:t>
            </w:r>
          </w:p>
        </w:tc>
        <w:tc>
          <w:tcPr>
            <w:tcW w:type="dxa" w:w="7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Actor</w:t>
            </w:r>
          </w:p>
        </w:tc>
        <w:tc>
          <w:tcPr>
            <w:tcW w:type="dxa" w:w="20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Target SLA</w:t>
            </w:r>
          </w:p>
        </w:tc>
        <w:tc>
          <w:tcPr>
            <w:tcW w:type="dxa" w:w="20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Maximum Tolerance</w:t>
            </w:r>
          </w:p>
        </w:tc>
        <w:tc>
          <w:tcPr>
            <w:tcW w:type="dxa" w:w="22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Notes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Steps 2–3  (Validation)</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1 second</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2 seconds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NFR-01; synchronous inline check</w:t>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Step 3b    (Blacklist check)</w:t>
            </w:r>
          </w:p>
        </w:tc>
        <w:tc>
          <w:tcPr>
            <w:tcW w:type="dxa" w:w="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2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0.5 seconds</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1 second</w:t>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Pre-score lookup; no model involved</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Steps 4–5  (Model scoring)</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Fraud Model</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2 seconds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3 seconds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FR-10; p95 latency SLA</w:t>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Step 6     (Manual review)</w:t>
            </w:r>
          </w:p>
        </w:tc>
        <w:tc>
          <w:tcPr>
            <w:tcW w:type="dxa" w:w="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Analyst</w:t>
            </w:r>
          </w:p>
        </w:tc>
        <w:tc>
          <w:tcPr>
            <w:tcW w:type="dxa" w:w="2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4 hours</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8 hours</w:t>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Business SLA; monitored by Operations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Step 7     (Compliance review)</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Compliance</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1 business day</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2 business days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For referred cases; tracked in audit log</w:t>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Step 8     (Audit log write)</w:t>
            </w:r>
          </w:p>
        </w:tc>
        <w:tc>
          <w:tcPr>
            <w:tcW w:type="dxa" w:w="7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20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Synchronous</w:t>
            </w:r>
          </w:p>
        </w:tc>
        <w:tc>
          <w:tcPr>
            <w:tcW w:type="dxa" w:w="20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Within scoring transaction</w:t>
            </w:r>
          </w:p>
        </w:tc>
        <w:tc>
          <w:tcPr>
            <w:tcW w:type="dxa" w:w="22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FR-09; failure halts scoring for that record</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Step 9     (Applicant notification)</w:t>
            </w:r>
          </w:p>
        </w:tc>
        <w:tc>
          <w:tcPr>
            <w:tcW w:type="dxa" w:w="7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w:t>
            </w:r>
          </w:p>
        </w:tc>
        <w:tc>
          <w:tcPr>
            <w:tcW w:type="dxa" w:w="20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5 minutes post-decision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&lt; 15 minutes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Automated; via email or SMS</w:t>
            </w:r>
          </w:p>
        </w:tc>
      </w:tr>
    </w:tbl>
    <w:p>
      <w:pPr>
        <w:spacing w:before="60" w:after="60"/>
      </w:pPr>
      <w:r>
        <w:t xml:space="preserve"/>
      </w:r>
    </w:p>
    <w:p>
      <w:pPr>
        <w:spacing w:before="280" w:after="100"/>
      </w:pPr>
      <w:r>
        <w:rPr>
          <w:rFonts w:ascii="Arial" w:cs="Arial" w:eastAsia="Arial" w:hAnsi="Arial"/>
          <w:b/>
          <w:bCs/>
          <w:color w:val="000000"/>
          <w:sz w:val="22"/>
          <w:szCs w:val="22"/>
        </w:rPr>
        <w:t xml:space="preserve">7.  Exception Paths</w:t>
      </w:r>
    </w:p>
    <w:p>
      <w:pPr>
        <w:spacing w:before="60" w:after="60"/>
      </w:pPr>
      <w:r>
        <w:rPr>
          <w:rFonts w:ascii="Arial" w:cs="Arial" w:eastAsia="Arial" w:hAnsi="Arial"/>
          <w:color w:val="111111"/>
          <w:sz w:val="20"/>
          <w:szCs w:val="20"/>
        </w:rPr>
        <w:t xml:space="preserve">The following table defines how the system and actors must respond when a step fails or cannot be completed as expected. The fail-safe principle applies throughout: when in doubt, route to manual review and never auto-approve.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Exception</w:t>
            </w:r>
          </w:p>
        </w:tc>
        <w:tc>
          <w:tcPr>
            <w:tcW w:type="dxa" w:w="216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System Response</w:t>
            </w:r>
          </w:p>
        </w:tc>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Resolution Path</w:t>
            </w:r>
          </w:p>
        </w:tc>
        <w:tc>
          <w:tcPr>
            <w:tcW w:type="dxa" w:w="2400"/>
            <w:gridSpan w:val="1"/>
            <w:tcBorders>
              <w:top w:val="single" w:color="CCCCCC" w:sz="4"/>
              <w:left w:val="single" w:color="CCCCCC" w:sz="4"/>
              <w:bottom w:val="single" w:color="CCCCCC" w:sz="4"/>
              <w:right w:val="single" w:color="CCCCCC" w:sz="4"/>
            </w:tcBorders>
            <w:shd w:fill="DDDDDD" w:val="clear"/>
            <w:tcMar>
              <w:top w:type="dxa" w:w="80"/>
              <w:left w:type="dxa" w:w="120"/>
              <w:bottom w:type="dxa" w:w="80"/>
              <w:right w:type="dxa" w:w="120"/>
            </w:tcMar>
            <w:vAlign w:val="center"/>
          </w:tcPr>
          <w:p>
            <w:r>
              <w:rPr>
                <w:rFonts w:ascii="Arial" w:cs="Arial" w:eastAsia="Arial" w:hAnsi="Arial"/>
                <w:b/>
                <w:bCs/>
                <w:color w:val="000000"/>
                <w:sz w:val="18"/>
                <w:szCs w:val="18"/>
              </w:rPr>
              <w:t xml:space="preserve">Reference</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Validation failure (Step 3)</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System returns error details to applicant; application halted; data quality warning logged</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Applicant corrects and resubmits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FR-02</w:t>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Applicant blacklisted (Step 3b)</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Auto-rejected before scoring; compliance notified; audit log written</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Case closed; applicant notified</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FR-06</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Model service unavailable (Step 5)</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Application routed to manual review queue; IT alert triggered; system never auto-approves</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Analyst reviews manually</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FR-13</w:t>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API timeout &gt; 10 seconds (Step 5)</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Default to manual review; timeout event logged; IT alerted</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Analyst reviews manually</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FR-13</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Audit log write failure (Step 8)</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Scoring halted for that record; 3 retries attempted; IT alerted if all fail</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Record held pending log resolution</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FR-09</w:t>
            </w:r>
          </w:p>
        </w:tc>
      </w:tr>
      <w:tr>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Risk Analyst unavailable (Step 6)</w:t>
            </w:r>
          </w:p>
        </w:tc>
        <w:tc>
          <w:tcPr>
            <w:tcW w:type="dxa" w:w="216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Application remains in queue; SLA breach alert raised after 4 hours; supervisor notified</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Supervisor assumes review responsibility</w:t>
            </w:r>
          </w:p>
        </w:tc>
        <w:tc>
          <w:tcPr>
            <w:tcW w:type="dxa" w:w="2400"/>
            <w:gridSpan w:val="1"/>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Operational process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Missing mandatory field (any step)</w:t>
            </w:r>
          </w:p>
        </w:tc>
        <w:tc>
          <w:tcPr>
            <w:tcW w:type="dxa" w:w="2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Record routed to manual review; data quality warning logged; data team alerted</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Risk Analyst reviews with partial data</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FR-12</w:t>
            </w:r>
          </w:p>
        </w:tc>
      </w:tr>
    </w:tbl>
    <w:p>
      <w:pPr>
        <w:spacing w:before="60" w:after="60"/>
      </w:pPr>
      <w:r>
        <w:t xml:space="preserve"/>
      </w:r>
    </w:p>
    <w:p>
      <w:pPr>
        <w:spacing w:before="280" w:after="100"/>
      </w:pPr>
      <w:r>
        <w:rPr>
          <w:rFonts w:ascii="Arial" w:cs="Arial" w:eastAsia="Arial" w:hAnsi="Arial"/>
          <w:b/>
          <w:bCs/>
          <w:color w:val="000000"/>
          <w:sz w:val="22"/>
          <w:szCs w:val="22"/>
        </w:rPr>
        <w:t xml:space="preserve">8.  Process Notes</w:t>
      </w:r>
    </w:p>
    <w:p>
      <w:pPr>
        <w:pStyle w:val="ListParagraph"/>
        <w:numPr>
          <w:ilvl w:val="0"/>
          <w:numId w:val="2"/>
        </w:numPr>
        <w:spacing w:before="40" w:after="40"/>
      </w:pPr>
      <w:r>
        <w:rPr>
          <w:rFonts w:ascii="Arial" w:cs="Arial" w:eastAsia="Arial" w:hAnsi="Arial"/>
          <w:color w:val="111111"/>
          <w:sz w:val="20"/>
          <w:szCs w:val="20"/>
        </w:rPr>
        <w:t xml:space="preserve">Steps 4–5 (model scoring) target a total processing time of under 3 seconds end-to-end, measured at the p95 latency level (NFR-01, FR-10).</w:t>
      </w:r>
    </w:p>
    <w:p>
      <w:pPr>
        <w:pStyle w:val="ListParagraph"/>
        <w:numPr>
          <w:ilvl w:val="0"/>
          <w:numId w:val="2"/>
        </w:numPr>
        <w:spacing w:before="40" w:after="40"/>
      </w:pPr>
      <w:r>
        <w:rPr>
          <w:rFonts w:ascii="Arial" w:cs="Arial" w:eastAsia="Arial" w:hAnsi="Arial"/>
          <w:color w:val="111111"/>
          <w:sz w:val="20"/>
          <w:szCs w:val="20"/>
        </w:rPr>
        <w:t xml:space="preserve">Every decision in Steps 5–7 generates an immutable audit log entry regardless of the decision outcome (FR-09). Log entries must not be deleted or modified; they are retained for a minimum of 7 years (FR-19, NFR-03).</w:t>
      </w:r>
    </w:p>
    <w:p>
      <w:pPr>
        <w:pStyle w:val="ListParagraph"/>
        <w:numPr>
          <w:ilvl w:val="0"/>
          <w:numId w:val="2"/>
        </w:numPr>
        <w:spacing w:before="40" w:after="40"/>
      </w:pPr>
      <w:r>
        <w:rPr>
          <w:rFonts w:ascii="Arial" w:cs="Arial" w:eastAsia="Arial" w:hAnsi="Arial"/>
          <w:color w:val="111111"/>
          <w:sz w:val="20"/>
          <w:szCs w:val="20"/>
        </w:rPr>
        <w:t xml:space="preserve">Blacklisted applicants are auto-rejected at Step 3b without consuming model resources. This is a pre-score business rule, not an ML decision (FR-06, BR-RULE-01).</w:t>
      </w:r>
    </w:p>
    <w:p>
      <w:pPr>
        <w:pStyle w:val="ListParagraph"/>
        <w:numPr>
          <w:ilvl w:val="0"/>
          <w:numId w:val="2"/>
        </w:numPr>
        <w:spacing w:before="40" w:after="40"/>
      </w:pPr>
      <w:r>
        <w:rPr>
          <w:rFonts w:ascii="Arial" w:cs="Arial" w:eastAsia="Arial" w:hAnsi="Arial"/>
          <w:color w:val="111111"/>
          <w:sz w:val="20"/>
          <w:szCs w:val="20"/>
        </w:rPr>
        <w:t xml:space="preserve">SHAP explanations are generated for all Medium and High-risk applications (Step 5) and are included in the manual review interface (Step 6) and audit log (Step 8).</w:t>
      </w:r>
    </w:p>
    <w:p>
      <w:pPr>
        <w:pStyle w:val="ListParagraph"/>
        <w:numPr>
          <w:ilvl w:val="0"/>
          <w:numId w:val="2"/>
        </w:numPr>
        <w:spacing w:before="40" w:after="40"/>
      </w:pPr>
      <w:r>
        <w:rPr>
          <w:rFonts w:ascii="Arial" w:cs="Arial" w:eastAsia="Arial" w:hAnsi="Arial"/>
          <w:color w:val="111111"/>
          <w:sz w:val="20"/>
          <w:szCs w:val="20"/>
        </w:rPr>
        <w:t xml:space="preserve">The fail-safe rule applies universally: if any automated step fails, the application defaults to manual review. The system must never auto-approve an application as a result of a system failure or timeout (FR-13).</w:t>
      </w:r>
    </w:p>
    <w:p>
      <w:pPr>
        <w:pStyle w:val="ListParagraph"/>
        <w:numPr>
          <w:ilvl w:val="0"/>
          <w:numId w:val="2"/>
        </w:numPr>
        <w:spacing w:before="40" w:after="40"/>
      </w:pPr>
      <w:r>
        <w:rPr>
          <w:rFonts w:ascii="Arial" w:cs="Arial" w:eastAsia="Arial" w:hAnsi="Arial"/>
          <w:color w:val="111111"/>
          <w:sz w:val="20"/>
          <w:szCs w:val="20"/>
        </w:rPr>
        <w:t xml:space="preserve">Step 10 (loan disbursement and account setup) is executed by Operations and is outside the scope of the Fraud Detection System. The FDS delivers a decision; downstream fulfilment is handled by existing origination processes.</w:t>
      </w:r>
    </w:p>
    <w:p>
      <w:pPr>
        <w:pStyle w:val="ListParagraph"/>
        <w:numPr>
          <w:ilvl w:val="0"/>
          <w:numId w:val="2"/>
        </w:numPr>
        <w:spacing w:before="40" w:after="40"/>
      </w:pPr>
      <w:r>
        <w:rPr>
          <w:rFonts w:ascii="Arial" w:cs="Arial" w:eastAsia="Arial" w:hAnsi="Arial"/>
          <w:color w:val="111111"/>
          <w:sz w:val="20"/>
          <w:szCs w:val="20"/>
        </w:rPr>
        <w:t xml:space="preserve">For this solo project, the Risk Analyst, Compliance, and Operations roles are simulated during UAT using scripted test scenarios. Real-actor integration is assumed for production deployment.</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2026-03-20T07:34:31.051Z</dcterms:created>
  <dcterms:modified xsi:type="dcterms:W3CDTF">2026-03-20T07:34:31.052Z</dcterms:modified>
</cp:coreProperties>
</file>

<file path=docProps/custom.xml><?xml version="1.0" encoding="utf-8"?>
<Properties xmlns="http://schemas.openxmlformats.org/officeDocument/2006/custom-properties" xmlns:vt="http://schemas.openxmlformats.org/officeDocument/2006/docPropsVTypes"/>
</file>