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0000"/>
          <w:sz w:val="52"/>
          <w:szCs w:val="52"/>
        </w:rPr>
        <w:t xml:space="preserve">STAKEHOLDER ANALYSIS MATRIX</w:t>
      </w:r>
    </w:p>
    <w:p>
      <w:pPr>
        <w:spacing w:before="0" w:after="60"/>
      </w:pPr>
      <w:r>
        <w:rPr>
          <w:rFonts w:ascii="Arial" w:cs="Arial" w:eastAsia="Arial" w:hAnsi="Arial"/>
          <w:color w:val="444444"/>
          <w:sz w:val="26"/>
          <w:szCs w:val="26"/>
        </w:rPr>
        <w:t xml:space="preserve">Fraud Detection System — Loan Applications</w:t>
      </w:r>
    </w:p>
    <w:p>
      <w:pPr>
        <w:spacing w:before="0" w:after="0"/>
      </w:pPr>
      <w:r>
        <w:rPr>
          <w:rFonts w:ascii="Arial" w:cs="Arial" w:eastAsia="Arial" w:hAnsi="Arial"/>
          <w:color w:val="444444"/>
          <w:sz w:val="19"/>
          <w:szCs w:val="19"/>
        </w:rPr>
        <w:t xml:space="preserve">Version 1.0   |   March 2026   |   Solo Project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Project Name</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Fraud Detection System — Loan Applications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Version</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1.0</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Date</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20 March 2026</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Prepared By</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Solo Project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Status</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Draft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Document ID</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FDS-SA-001</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Related Docs</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FDS-BRD-001 (BRD), FDS-FRD-001 (FRD), FDS-PF-001 (Process Flow)</w:t>
            </w:r>
          </w:p>
        </w:tc>
      </w:tr>
    </w:tbl>
    <w:p>
      <w:pPr>
        <w:spacing w:before="60" w:after="60"/>
      </w:pPr>
      <w:r>
        <w:t xml:space="preserve"/>
      </w:r>
    </w:p>
    <w:p>
      <w:pPr>
        <w:spacing w:before="280" w:after="100"/>
      </w:pPr>
      <w:r>
        <w:rPr>
          <w:rFonts w:ascii="Arial" w:cs="Arial" w:eastAsia="Arial" w:hAnsi="Arial"/>
          <w:b/>
          <w:bCs/>
          <w:color w:val="000000"/>
          <w:sz w:val="22"/>
          <w:szCs w:val="22"/>
        </w:rPr>
        <w:t xml:space="preserve">1.  Purpose</w:t>
      </w:r>
    </w:p>
    <w:p>
      <w:pPr>
        <w:spacing w:before="60" w:after="60"/>
      </w:pPr>
      <w:r>
        <w:rPr>
          <w:rFonts w:ascii="Arial" w:cs="Arial" w:eastAsia="Arial" w:hAnsi="Arial"/>
          <w:color w:val="111111"/>
          <w:sz w:val="20"/>
          <w:szCs w:val="20"/>
        </w:rPr>
        <w:t xml:space="preserve">This document identifies all stakeholders involved in or affected by the Fraud Detection System, analyses their interests and influence, defines their information needs, and establishes how each will be engaged throughout the project lifecycle.</w:t>
      </w:r>
    </w:p>
    <w:p>
      <w:pPr>
        <w:spacing w:before="60" w:after="60"/>
      </w:pPr>
      <w:r>
        <w:rPr>
          <w:rFonts w:ascii="Arial" w:cs="Arial" w:eastAsia="Arial" w:hAnsi="Arial"/>
          <w:color w:val="111111"/>
          <w:sz w:val="20"/>
          <w:szCs w:val="20"/>
        </w:rPr>
        <w:t xml:space="preserve">Since this is a solo project, several stakeholder roles are simulated for the purposes of requirements definition, design, and UAT. These are clearly marked in the register. In a production deployment, these roles would be occupied by real individuals within the organisation.</w:t>
      </w:r>
    </w:p>
    <w:p>
      <w:pPr>
        <w:spacing w:before="60" w:after="60"/>
      </w:pPr>
      <w:r>
        <w:t xml:space="preserve"/>
      </w:r>
    </w:p>
    <w:p>
      <w:pPr>
        <w:spacing w:before="280" w:after="100"/>
      </w:pPr>
      <w:r>
        <w:rPr>
          <w:rFonts w:ascii="Arial" w:cs="Arial" w:eastAsia="Arial" w:hAnsi="Arial"/>
          <w:b/>
          <w:bCs/>
          <w:color w:val="000000"/>
          <w:sz w:val="22"/>
          <w:szCs w:val="22"/>
        </w:rPr>
        <w:t xml:space="preserve">2.  Stakeholder Register</w:t>
      </w:r>
    </w:p>
    <w:p>
      <w:pPr>
        <w:spacing w:before="60" w:after="60"/>
      </w:pPr>
      <w:r>
        <w:rPr>
          <w:rFonts w:ascii="Arial" w:cs="Arial" w:eastAsia="Arial" w:hAnsi="Arial"/>
          <w:color w:val="111111"/>
          <w:sz w:val="20"/>
          <w:szCs w:val="20"/>
        </w:rPr>
        <w:t xml:space="preserve">The table below lists all identified stakeholders, their primary interest in the project, their level of influence over decisions, and the recommended engagement strategy.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360"/>
        <w:gridCol w:w="1400"/>
        <w:gridCol w:w="1700"/>
        <w:gridCol w:w="1000"/>
        <w:gridCol w:w="1500"/>
      </w:tblGrid>
      <w:tr>
        <w:tc>
          <w:tcPr>
            <w:tcW w:type="dxa" w:w="5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ID</w:t>
            </w:r>
          </w:p>
        </w:tc>
        <w:tc>
          <w:tcPr>
            <w:tcW w:type="dxa" w:w="19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Name / Role</w:t>
            </w:r>
          </w:p>
        </w:tc>
        <w:tc>
          <w:tcPr>
            <w:tcW w:type="dxa" w:w="13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Department</w:t>
            </w:r>
          </w:p>
        </w:tc>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Primary Interest</w:t>
            </w:r>
          </w:p>
        </w:tc>
        <w:tc>
          <w:tcPr>
            <w:tcW w:type="dxa" w:w="17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Influence</w:t>
            </w:r>
          </w:p>
        </w:tc>
        <w:tc>
          <w:tcPr>
            <w:tcW w:type="dxa" w:w="1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Interest</w:t>
            </w:r>
          </w:p>
        </w:tc>
        <w:tc>
          <w:tcPr>
            <w:tcW w:type="dxa" w:w="15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Engagement</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S01</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Head of Risk</w:t>
            </w:r>
          </w:p>
        </w:tc>
        <w:tc>
          <w:tcPr>
            <w:tcW w:type="dxa" w:w="1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Risk Management</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Reduce fraud-related financial losses; receive KPI dashboards and model performance reports</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Manage Closely</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S02</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Compliance Officer</w:t>
            </w:r>
          </w:p>
        </w:tc>
        <w:tc>
          <w:tcPr>
            <w:tcW w:type="dxa" w:w="13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Compliance</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Ensure system adheres to DPDP Act, RBI fair-lending guidelines; review audit logs and explainability outputs</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c>
          <w:tcPr>
            <w:tcW w:type="dxa" w:w="1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Manage Closely</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S03</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Loan Officers</w:t>
            </w:r>
          </w:p>
        </w:tc>
        <w:tc>
          <w:tcPr>
            <w:tcW w:type="dxa" w:w="1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Operations</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Receive clear, actionable fraud flags with low false-positive rates; understand scoring rationale to make review decisions</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Low</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Keep Informed</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S04</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IT / Data Engineers</w:t>
            </w:r>
          </w:p>
        </w:tc>
        <w:tc>
          <w:tcPr>
            <w:tcW w:type="dxa" w:w="13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Technology</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Receive complete API specifications and integration requirements; ensure system fits within existing infrastructure</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Medium</w:t>
            </w:r>
          </w:p>
        </w:tc>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Medium</w:t>
            </w:r>
          </w:p>
        </w:tc>
        <w:tc>
          <w:tcPr>
            <w:tcW w:type="dxa" w:w="1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Keep Satisfied</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S05</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Data Scientist (Author)</w:t>
            </w:r>
          </w:p>
        </w:tc>
        <w:tc>
          <w:tcPr>
            <w:tcW w:type="dxa" w:w="1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Analytics</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Build, tune, and validate the ML model; ensure performance targets are met; own the EDA and feature engineering pipeline</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Lead</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S06</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CFO (simulated)</w:t>
            </w:r>
          </w:p>
        </w:tc>
        <w:tc>
          <w:tcPr>
            <w:tcW w:type="dxa" w:w="13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Finance</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Monitor cost of fraud write-offs; understand ROI of the detection system; receive financial impact reports</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Low</w:t>
            </w:r>
          </w:p>
        </w:tc>
        <w:tc>
          <w:tcPr>
            <w:tcW w:type="dxa" w:w="1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Keep Satisfied</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S07</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External Regulator (sim.)</w:t>
            </w:r>
          </w:p>
        </w:tc>
        <w:tc>
          <w:tcPr>
            <w:tcW w:type="dxa" w:w="1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External</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Verify that automated credit decisions are explainable, non-discriminatory, and compliant with applicable regulations</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Medium</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Monitor</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S08</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Academic Supervisor</w:t>
            </w:r>
          </w:p>
        </w:tc>
        <w:tc>
          <w:tcPr>
            <w:tcW w:type="dxa" w:w="13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External</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Review deliverables for academic standards; provide feedback on methodology, documentation quality, and outcomes</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Medium</w:t>
            </w:r>
          </w:p>
        </w:tc>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c>
          <w:tcPr>
            <w:tcW w:type="dxa" w:w="1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Collaborate</w:t>
            </w:r>
          </w:p>
        </w:tc>
      </w:tr>
    </w:tbl>
    <w:p>
      <w:pPr>
        <w:spacing w:before="60" w:after="60"/>
      </w:pPr>
      <w:r>
        <w:t xml:space="preserve"/>
      </w:r>
    </w:p>
    <w:p>
      <w:pPr>
        <w:spacing w:before="60" w:after="60"/>
      </w:pPr>
      <w:r>
        <w:rPr>
          <w:rFonts w:ascii="Arial" w:cs="Arial" w:eastAsia="Arial" w:hAnsi="Arial"/>
          <w:color w:val="111111"/>
          <w:sz w:val="20"/>
          <w:szCs w:val="20"/>
        </w:rPr>
        <w:t xml:space="preserve">Engagement levels defined as: Manage Closely = high influence and/or high interest; keep fully involved at every stage. Keep Satisfied = high influence but lower day-to-day interest; update at key milestones. Keep Informed = high interest but lower decision-making authority; regular updates required. Monitor = lower influence and interest; track and engage if status changes. Collaborate = active working relationship throughout the project. Lead = project owner; drives all activity.</w:t>
      </w:r>
    </w:p>
    <w:p>
      <w:pPr>
        <w:spacing w:before="60" w:after="60"/>
      </w:pPr>
      <w:r>
        <w:t xml:space="preserve"/>
      </w:r>
    </w:p>
    <w:p>
      <w:pPr>
        <w:spacing w:before="280" w:after="100"/>
      </w:pPr>
      <w:r>
        <w:rPr>
          <w:rFonts w:ascii="Arial" w:cs="Arial" w:eastAsia="Arial" w:hAnsi="Arial"/>
          <w:b/>
          <w:bCs/>
          <w:color w:val="000000"/>
          <w:sz w:val="22"/>
          <w:szCs w:val="22"/>
        </w:rPr>
        <w:t xml:space="preserve">3.  Influence / Interest Grid</w:t>
      </w:r>
    </w:p>
    <w:p>
      <w:pPr>
        <w:spacing w:before="60" w:after="60"/>
      </w:pPr>
      <w:r>
        <w:rPr>
          <w:rFonts w:ascii="Arial" w:cs="Arial" w:eastAsia="Arial" w:hAnsi="Arial"/>
          <w:color w:val="111111"/>
          <w:sz w:val="20"/>
          <w:szCs w:val="20"/>
        </w:rPr>
        <w:t xml:space="preserve">Stakeholders are plotted across four quadrants based on their level of influence over project decisions and their degree of interest in the project outcomes.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c>
          <w:tcPr>
            <w:tcW w:type="dxa" w:w="900"/>
            <w:tcBorders>
              <w:top w:val="single" w:color="CCCCCC" w:sz="4"/>
              <w:left w:val="single" w:color="CCCCCC" w:sz="4"/>
              <w:bottom w:val="single" w:color="CCCCCC" w:sz="4"/>
              <w:right w:val="single" w:color="CCCCCC" w:sz="4"/>
            </w:tcBorders>
            <w:shd w:fill="DDDDDD"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
            </w:r>
          </w:p>
        </w:tc>
        <w:tc>
          <w:tcPr>
            <w:tcW w:type="dxa" w:w="4230"/>
            <w:tcBorders>
              <w:top w:val="single" w:color="CCCCCC" w:sz="4"/>
              <w:left w:val="single" w:color="CCCCCC" w:sz="4"/>
              <w:bottom w:val="single" w:color="CCCCCC" w:sz="4"/>
              <w:right w:val="single" w:color="CCCCCC" w:sz="4"/>
            </w:tcBorders>
            <w:shd w:fill="DDDDDD"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LOW INTEREST</w:t>
            </w:r>
          </w:p>
        </w:tc>
        <w:tc>
          <w:tcPr>
            <w:tcW w:type="dxa" w:w="4230"/>
            <w:tcBorders>
              <w:top w:val="single" w:color="CCCCCC" w:sz="4"/>
              <w:left w:val="single" w:color="CCCCCC" w:sz="4"/>
              <w:bottom w:val="single" w:color="CCCCCC" w:sz="4"/>
              <w:right w:val="single" w:color="CCCCCC" w:sz="4"/>
            </w:tcBorders>
            <w:shd w:fill="DDDDDD"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HIGH INTEREST</w:t>
            </w:r>
          </w:p>
        </w:tc>
      </w:tr>
      <w:tr>
        <w:tc>
          <w:tcPr>
            <w:tcW w:type="dxa" w:w="900"/>
            <w:tcBorders>
              <w:top w:val="single" w:color="CCCCCC" w:sz="4"/>
              <w:left w:val="single" w:color="CCCCCC" w:sz="4"/>
              <w:bottom w:val="single" w:color="CCCCCC" w:sz="4"/>
              <w:right w:val="single" w:color="CCCCCC" w:sz="4"/>
            </w:tcBorders>
            <w:shd w:fill="DDDDDD"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HIGH
INFLUENCE</w:t>
            </w:r>
          </w:p>
        </w:tc>
        <w:tc>
          <w:tcPr>
            <w:tcW w:type="dxa" w:w="4230"/>
            <w:tcBorders>
              <w:top w:val="single" w:color="CCCCCC" w:sz="4"/>
              <w:left w:val="single" w:color="CCCCCC" w:sz="4"/>
              <w:bottom w:val="single" w:color="CCCCCC" w:sz="4"/>
              <w:right w:val="single" w:color="CCCCCC" w:sz="4"/>
            </w:tcBorders>
            <w:shd w:fill="FFFFFF" w:val="clear"/>
            <w:tcMar>
              <w:top w:type="dxa" w:w="160"/>
              <w:left w:type="dxa" w:w="200"/>
              <w:bottom w:type="dxa" w:w="160"/>
              <w:right w:type="dxa" w:w="200"/>
            </w:tcMar>
            <w:vAlign w:val="center"/>
          </w:tcPr>
          <w:p>
            <w:pPr>
              <w:spacing w:before="0" w:after="40"/>
            </w:pPr>
            <w:r>
              <w:rPr>
                <w:rFonts w:ascii="Arial" w:cs="Arial" w:eastAsia="Arial" w:hAnsi="Arial"/>
                <w:b/>
                <w:bCs/>
                <w:color w:val="000000"/>
                <w:sz w:val="18"/>
                <w:szCs w:val="18"/>
              </w:rPr>
              <w:t xml:space="preserve">KEEP SATISFIED</w:t>
            </w:r>
          </w:p>
          <w:p>
            <w:pPr>
              <w:spacing w:before="40" w:after="40"/>
            </w:pPr>
            <w:r>
              <w:rPr>
                <w:rFonts w:ascii="Arial" w:cs="Arial" w:eastAsia="Arial" w:hAnsi="Arial"/>
                <w:b w:val="false"/>
                <w:bCs w:val="false"/>
                <w:color w:val="444444"/>
                <w:sz w:val="18"/>
                <w:szCs w:val="18"/>
              </w:rPr>
              <w:t xml:space="preserve">S06  CFO</w:t>
            </w:r>
          </w:p>
          <w:p>
            <w:pPr>
              <w:spacing w:before="40" w:after="40"/>
            </w:pPr>
            <w:r>
              <w:rPr>
                <w:rFonts w:ascii="Arial" w:cs="Arial" w:eastAsia="Arial" w:hAnsi="Arial"/>
                <w:b w:val="false"/>
                <w:bCs w:val="false"/>
                <w:color w:val="444444"/>
                <w:sz w:val="18"/>
                <w:szCs w:val="18"/>
              </w:rPr>
              <w:t xml:space="preserve">S07  External Regulator</w:t>
            </w:r>
          </w:p>
        </w:tc>
        <w:tc>
          <w:tcPr>
            <w:tcW w:type="dxa" w:w="4230"/>
            <w:tcBorders>
              <w:top w:val="single" w:color="CCCCCC" w:sz="4"/>
              <w:left w:val="single" w:color="CCCCCC" w:sz="4"/>
              <w:bottom w:val="single" w:color="CCCCCC" w:sz="4"/>
              <w:right w:val="single" w:color="CCCCCC" w:sz="4"/>
            </w:tcBorders>
            <w:shd w:fill="F0F0F0" w:val="clear"/>
            <w:tcMar>
              <w:top w:type="dxa" w:w="160"/>
              <w:left w:type="dxa" w:w="200"/>
              <w:bottom w:type="dxa" w:w="160"/>
              <w:right w:type="dxa" w:w="200"/>
            </w:tcMar>
            <w:vAlign w:val="center"/>
          </w:tcPr>
          <w:p>
            <w:pPr>
              <w:spacing w:before="0" w:after="40"/>
            </w:pPr>
            <w:r>
              <w:rPr>
                <w:rFonts w:ascii="Arial" w:cs="Arial" w:eastAsia="Arial" w:hAnsi="Arial"/>
                <w:b/>
                <w:bCs/>
                <w:color w:val="000000"/>
                <w:sz w:val="18"/>
                <w:szCs w:val="18"/>
              </w:rPr>
              <w:t xml:space="preserve">MANAGE CLOSELY</w:t>
            </w:r>
          </w:p>
          <w:p>
            <w:pPr>
              <w:spacing w:before="40" w:after="40"/>
            </w:pPr>
            <w:r>
              <w:rPr>
                <w:rFonts w:ascii="Arial" w:cs="Arial" w:eastAsia="Arial" w:hAnsi="Arial"/>
                <w:b w:val="false"/>
                <w:bCs w:val="false"/>
                <w:color w:val="444444"/>
                <w:sz w:val="18"/>
                <w:szCs w:val="18"/>
              </w:rPr>
              <w:t xml:space="preserve">S01  Head of Risk</w:t>
            </w:r>
          </w:p>
          <w:p>
            <w:pPr>
              <w:spacing w:before="40" w:after="40"/>
            </w:pPr>
            <w:r>
              <w:rPr>
                <w:rFonts w:ascii="Arial" w:cs="Arial" w:eastAsia="Arial" w:hAnsi="Arial"/>
                <w:b w:val="false"/>
                <w:bCs w:val="false"/>
                <w:color w:val="444444"/>
                <w:sz w:val="18"/>
                <w:szCs w:val="18"/>
              </w:rPr>
              <w:t xml:space="preserve">S02  Compliance Officer</w:t>
            </w:r>
          </w:p>
          <w:p>
            <w:pPr>
              <w:spacing w:before="40" w:after="40"/>
            </w:pPr>
            <w:r>
              <w:rPr>
                <w:rFonts w:ascii="Arial" w:cs="Arial" w:eastAsia="Arial" w:hAnsi="Arial"/>
                <w:b w:val="false"/>
                <w:bCs w:val="false"/>
                <w:color w:val="444444"/>
                <w:sz w:val="18"/>
                <w:szCs w:val="18"/>
              </w:rPr>
              <w:t xml:space="preserve">S05  Data Scientist (Author)</w:t>
            </w:r>
          </w:p>
        </w:tc>
      </w:tr>
      <w:tr>
        <w:tc>
          <w:tcPr>
            <w:tcW w:type="dxa" w:w="900"/>
            <w:tcBorders>
              <w:top w:val="single" w:color="CCCCCC" w:sz="4"/>
              <w:left w:val="single" w:color="CCCCCC" w:sz="4"/>
              <w:bottom w:val="single" w:color="CCCCCC" w:sz="4"/>
              <w:right w:val="single" w:color="CCCCCC" w:sz="4"/>
            </w:tcBorders>
            <w:shd w:fill="DDDDDD"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LOW
INFLUENCE</w:t>
            </w:r>
          </w:p>
        </w:tc>
        <w:tc>
          <w:tcPr>
            <w:tcW w:type="dxa" w:w="4230"/>
            <w:tcBorders>
              <w:top w:val="single" w:color="CCCCCC" w:sz="4"/>
              <w:left w:val="single" w:color="CCCCCC" w:sz="4"/>
              <w:bottom w:val="single" w:color="CCCCCC" w:sz="4"/>
              <w:right w:val="single" w:color="CCCCCC" w:sz="4"/>
            </w:tcBorders>
            <w:shd w:fill="FFFFFF" w:val="clear"/>
            <w:tcMar>
              <w:top w:type="dxa" w:w="160"/>
              <w:left w:type="dxa" w:w="200"/>
              <w:bottom w:type="dxa" w:w="160"/>
              <w:right w:type="dxa" w:w="200"/>
            </w:tcMar>
            <w:vAlign w:val="center"/>
          </w:tcPr>
          <w:p>
            <w:pPr>
              <w:spacing w:before="0" w:after="40"/>
            </w:pPr>
            <w:r>
              <w:rPr>
                <w:rFonts w:ascii="Arial" w:cs="Arial" w:eastAsia="Arial" w:hAnsi="Arial"/>
                <w:b/>
                <w:bCs/>
                <w:color w:val="000000"/>
                <w:sz w:val="18"/>
                <w:szCs w:val="18"/>
              </w:rPr>
              <w:t xml:space="preserve">MONITOR</w:t>
            </w:r>
          </w:p>
          <w:p>
            <w:pPr>
              <w:spacing w:before="40" w:after="40"/>
            </w:pPr>
            <w:r>
              <w:rPr>
                <w:rFonts w:ascii="Arial" w:cs="Arial" w:eastAsia="Arial" w:hAnsi="Arial"/>
                <w:b w:val="false"/>
                <w:bCs w:val="false"/>
                <w:color w:val="444444"/>
                <w:sz w:val="18"/>
                <w:szCs w:val="18"/>
              </w:rPr>
              <w:t xml:space="preserve">(No stakeholders in this quadrant)</w:t>
            </w:r>
          </w:p>
        </w:tc>
        <w:tc>
          <w:tcPr>
            <w:tcW w:type="dxa" w:w="4230"/>
            <w:tcBorders>
              <w:top w:val="single" w:color="CCCCCC" w:sz="4"/>
              <w:left w:val="single" w:color="CCCCCC" w:sz="4"/>
              <w:bottom w:val="single" w:color="CCCCCC" w:sz="4"/>
              <w:right w:val="single" w:color="CCCCCC" w:sz="4"/>
            </w:tcBorders>
            <w:shd w:fill="F0F0F0" w:val="clear"/>
            <w:tcMar>
              <w:top w:type="dxa" w:w="160"/>
              <w:left w:type="dxa" w:w="200"/>
              <w:bottom w:type="dxa" w:w="160"/>
              <w:right w:type="dxa" w:w="200"/>
            </w:tcMar>
            <w:vAlign w:val="center"/>
          </w:tcPr>
          <w:p>
            <w:pPr>
              <w:spacing w:before="0" w:after="40"/>
            </w:pPr>
            <w:r>
              <w:rPr>
                <w:rFonts w:ascii="Arial" w:cs="Arial" w:eastAsia="Arial" w:hAnsi="Arial"/>
                <w:b/>
                <w:bCs/>
                <w:color w:val="000000"/>
                <w:sz w:val="18"/>
                <w:szCs w:val="18"/>
              </w:rPr>
              <w:t xml:space="preserve">KEEP INFORMED</w:t>
            </w:r>
          </w:p>
          <w:p>
            <w:pPr>
              <w:spacing w:before="40" w:after="40"/>
            </w:pPr>
            <w:r>
              <w:rPr>
                <w:rFonts w:ascii="Arial" w:cs="Arial" w:eastAsia="Arial" w:hAnsi="Arial"/>
                <w:b w:val="false"/>
                <w:bCs w:val="false"/>
                <w:color w:val="444444"/>
                <w:sz w:val="18"/>
                <w:szCs w:val="18"/>
              </w:rPr>
              <w:t xml:space="preserve">S03  Loan Officers</w:t>
            </w:r>
          </w:p>
          <w:p>
            <w:pPr>
              <w:spacing w:before="40" w:after="40"/>
            </w:pPr>
            <w:r>
              <w:rPr>
                <w:rFonts w:ascii="Arial" w:cs="Arial" w:eastAsia="Arial" w:hAnsi="Arial"/>
                <w:b w:val="false"/>
                <w:bCs w:val="false"/>
                <w:color w:val="444444"/>
                <w:sz w:val="18"/>
                <w:szCs w:val="18"/>
              </w:rPr>
              <w:t xml:space="preserve">S04  IT / Data Engineers</w:t>
            </w:r>
          </w:p>
          <w:p>
            <w:pPr>
              <w:spacing w:before="40" w:after="40"/>
            </w:pPr>
            <w:r>
              <w:rPr>
                <w:rFonts w:ascii="Arial" w:cs="Arial" w:eastAsia="Arial" w:hAnsi="Arial"/>
                <w:b w:val="false"/>
                <w:bCs w:val="false"/>
                <w:color w:val="444444"/>
                <w:sz w:val="18"/>
                <w:szCs w:val="18"/>
              </w:rPr>
              <w:t xml:space="preserve">S08  Academic Supervisor</w:t>
            </w:r>
          </w:p>
        </w:tc>
      </w:tr>
    </w:tbl>
    <w:p>
      <w:pPr>
        <w:spacing w:before="60" w:after="60"/>
      </w:pPr>
      <w:r>
        <w:t xml:space="preserve"/>
      </w:r>
    </w:p>
    <w:p>
      <w:pPr>
        <w:spacing w:before="280" w:after="100"/>
      </w:pPr>
      <w:r>
        <w:rPr>
          <w:rFonts w:ascii="Arial" w:cs="Arial" w:eastAsia="Arial" w:hAnsi="Arial"/>
          <w:b/>
          <w:bCs/>
          <w:color w:val="000000"/>
          <w:sz w:val="22"/>
          <w:szCs w:val="22"/>
        </w:rPr>
        <w:t xml:space="preserve">4.  RACI Matrix</w:t>
      </w:r>
    </w:p>
    <w:p>
      <w:pPr>
        <w:spacing w:before="60" w:after="60"/>
      </w:pPr>
      <w:r>
        <w:rPr>
          <w:rFonts w:ascii="Arial" w:cs="Arial" w:eastAsia="Arial" w:hAnsi="Arial"/>
          <w:color w:val="111111"/>
          <w:sz w:val="20"/>
          <w:szCs w:val="20"/>
        </w:rPr>
        <w:t xml:space="preserve">The RACI matrix assigns responsibility for each key project activity across all stakeholders. In this solo project, S05 (Data Scientist / Author) holds the Responsible role for all technical activities. Accountable roles reflect who the work is ultimately answerable 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R — Responsible</w:t>
            </w:r>
          </w:p>
        </w:tc>
        <w:tc>
          <w:tcPr>
            <w:tcW w:type="dxa" w:w="8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The person who does the work; directly executes the task</w:t>
            </w:r>
          </w:p>
        </w:tc>
      </w:tr>
      <w:tr>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A — Accountable</w:t>
            </w:r>
          </w:p>
        </w:tc>
        <w:tc>
          <w:tcPr>
            <w:tcW w:type="dxa" w:w="8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The person who is ultimately answerable for the outcome; approves the deliverable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C — Consulted</w:t>
            </w:r>
          </w:p>
        </w:tc>
        <w:tc>
          <w:tcPr>
            <w:tcW w:type="dxa" w:w="8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Subject matter experts whose input is sought before or during the task</w:t>
            </w:r>
          </w:p>
        </w:tc>
      </w:tr>
      <w:tr>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I — Informed</w:t>
            </w:r>
          </w:p>
        </w:tc>
        <w:tc>
          <w:tcPr>
            <w:tcW w:type="dxa" w:w="8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Stakeholders who receive updates on progress and outcomes but are not involved in doing the work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820"/>
        <w:gridCol w:w="820"/>
        <w:gridCol w:w="820"/>
        <w:gridCol w:w="820"/>
        <w:gridCol w:w="820"/>
        <w:gridCol w:w="820"/>
        <w:gridCol w:w="820"/>
        <w:gridCol w:w="1060"/>
      </w:tblGrid>
      <w:tr>
        <w:tc>
          <w:tcPr>
            <w:tcW w:type="dxa" w:w="25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Activity</w:t>
            </w:r>
          </w:p>
        </w:tc>
        <w:tc>
          <w:tcPr>
            <w:tcW w:type="dxa" w:w="82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S01
Risk</w:t>
            </w:r>
          </w:p>
        </w:tc>
        <w:tc>
          <w:tcPr>
            <w:tcW w:type="dxa" w:w="82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S02
Comp.</w:t>
            </w:r>
          </w:p>
        </w:tc>
        <w:tc>
          <w:tcPr>
            <w:tcW w:type="dxa" w:w="82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S03
Ops</w:t>
            </w:r>
          </w:p>
        </w:tc>
        <w:tc>
          <w:tcPr>
            <w:tcW w:type="dxa" w:w="82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S04
IT</w:t>
            </w:r>
          </w:p>
        </w:tc>
        <w:tc>
          <w:tcPr>
            <w:tcW w:type="dxa" w:w="82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S05
DS</w:t>
            </w:r>
          </w:p>
        </w:tc>
        <w:tc>
          <w:tcPr>
            <w:tcW w:type="dxa" w:w="82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S06
CFO</w:t>
            </w:r>
          </w:p>
        </w:tc>
        <w:tc>
          <w:tcPr>
            <w:tcW w:type="dxa" w:w="82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S07
Reg.</w:t>
            </w:r>
          </w:p>
        </w:tc>
        <w:tc>
          <w:tcPr>
            <w:tcW w:type="dxa" w:w="10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S08
Supervisor</w:t>
            </w:r>
          </w:p>
        </w:tc>
      </w:tr>
      <w:tr>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Define Business Requirements</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A</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1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r>
      <w:tr>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Data Procurement &amp; Quality Check</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10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r>
      <w:tr>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Exploratory Data Analysis</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1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r>
      <w:tr>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Feature Engineering</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10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r>
      <w:tr>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Model Development &amp; Tuning</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1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r>
      <w:tr>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Compliance Review</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A</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10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r>
      <w:tr>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API Integration Design</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1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r>
      <w:tr>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UAT Design &amp; Execution</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A</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10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r>
      <w:tr>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UAT Sign-off</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A</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1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A</w:t>
            </w:r>
          </w:p>
        </w:tc>
      </w:tr>
      <w:tr>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Production Deployment</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10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r>
      <w:tr>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Ongoing Model Monitoring</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A</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1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r>
      <w:tr>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Performance Reporting</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R</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A</w:t>
            </w:r>
          </w:p>
        </w:tc>
        <w:tc>
          <w:tcPr>
            <w:tcW w:type="dxa" w:w="82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I</w:t>
            </w:r>
          </w:p>
        </w:tc>
        <w:tc>
          <w:tcPr>
            <w:tcW w:type="dxa" w:w="10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bCs/>
                <w:color w:val="111111"/>
                <w:sz w:val="18"/>
                <w:szCs w:val="18"/>
              </w:rPr>
              <w:t xml:space="preserve">C</w:t>
            </w:r>
          </w:p>
        </w:tc>
      </w:tr>
    </w:tbl>
    <w:p>
      <w:pPr>
        <w:spacing w:before="60" w:after="60"/>
      </w:pPr>
      <w:r>
        <w:t xml:space="preserve"/>
      </w:r>
    </w:p>
    <w:p>
      <w:pPr>
        <w:spacing w:before="280" w:after="100"/>
      </w:pPr>
      <w:r>
        <w:rPr>
          <w:rFonts w:ascii="Arial" w:cs="Arial" w:eastAsia="Arial" w:hAnsi="Arial"/>
          <w:b/>
          <w:bCs/>
          <w:color w:val="000000"/>
          <w:sz w:val="22"/>
          <w:szCs w:val="22"/>
        </w:rPr>
        <w:t xml:space="preserve">5.  Stakeholder Needs &amp; Communication Plan</w:t>
      </w:r>
    </w:p>
    <w:p>
      <w:pPr>
        <w:spacing w:before="60" w:after="60"/>
      </w:pPr>
      <w:r>
        <w:rPr>
          <w:rFonts w:ascii="Arial" w:cs="Arial" w:eastAsia="Arial" w:hAnsi="Arial"/>
          <w:color w:val="111111"/>
          <w:sz w:val="20"/>
          <w:szCs w:val="20"/>
        </w:rPr>
        <w:t xml:space="preserve">The table below defines what each stakeholder needs from the project, how frequently they should receive updates, and through which channel.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560"/>
        <w:gridCol w:w="1860"/>
        <w:gridCol w:w="1440"/>
        <w:gridCol w:w="1400"/>
      </w:tblGrid>
      <w:tr>
        <w:tc>
          <w:tcPr>
            <w:tcW w:type="dxa" w:w="5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ID</w:t>
            </w:r>
          </w:p>
        </w:tc>
        <w:tc>
          <w:tcPr>
            <w:tcW w:type="dxa" w:w="1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Stakeholder</w:t>
            </w:r>
          </w:p>
        </w:tc>
        <w:tc>
          <w:tcPr>
            <w:tcW w:type="dxa" w:w="25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Key Information Need</w:t>
            </w:r>
          </w:p>
        </w:tc>
        <w:tc>
          <w:tcPr>
            <w:tcW w:type="dxa" w:w="18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Frequency</w:t>
            </w:r>
          </w:p>
        </w:tc>
        <w:tc>
          <w:tcPr>
            <w:tcW w:type="dxa" w:w="144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Channel</w:t>
            </w:r>
          </w:p>
        </w:tc>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Priority</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S01</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Head of Risk</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Fraud KPI dashboard; weekly model performance summary; flag rate and false-positive trend; financial impact estimate</w:t>
            </w:r>
          </w:p>
        </w:tc>
        <w:tc>
          <w:tcPr>
            <w:tcW w:type="dxa" w:w="1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Weekly</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Email report + milestone meeting</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S02</w:t>
            </w:r>
          </w:p>
        </w:tc>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Compliance Officer</w:t>
            </w:r>
          </w:p>
        </w:tc>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Audit log extracts; SHAP explainability outputs; model card; DPDP/RBI compliance checklist; formal sign-off at each gate</w:t>
            </w:r>
          </w:p>
        </w:tc>
        <w:tc>
          <w:tcPr>
            <w:tcW w:type="dxa" w:w="18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Monthly + gates</w:t>
            </w:r>
          </w:p>
        </w:tc>
        <w:tc>
          <w:tcPr>
            <w:tcW w:type="dxa" w:w="144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Formal written report; email</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S03</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Loan Officers</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Fraud flag guidance document; scoring threshold explanation; SHAP interpretation guide; hands-on walkthrough before go-live</w:t>
            </w:r>
          </w:p>
        </w:tc>
        <w:tc>
          <w:tcPr>
            <w:tcW w:type="dxa" w:w="1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Pre-deployment</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Workshop / training session</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Medium</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S04</w:t>
            </w:r>
          </w:p>
        </w:tc>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IT / Data Engineers</w:t>
            </w:r>
          </w:p>
        </w:tc>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API specification (FDS-FRD-001 Section 9); system architecture overview; integration test results; environment requirements</w:t>
            </w:r>
          </w:p>
        </w:tc>
        <w:tc>
          <w:tcPr>
            <w:tcW w:type="dxa" w:w="18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As needed</w:t>
            </w:r>
          </w:p>
        </w:tc>
        <w:tc>
          <w:tcPr>
            <w:tcW w:type="dxa" w:w="144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Technical documentation; email</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Medium</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S05</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Data Scientist (Author)</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Full access to all documents, datasets, and model artefacts — project owner and primary contributor</w:t>
            </w:r>
          </w:p>
        </w:tc>
        <w:tc>
          <w:tcPr>
            <w:tcW w:type="dxa" w:w="1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Continuous</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Direct / self</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S06</w:t>
            </w:r>
          </w:p>
        </w:tc>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CFO</w:t>
            </w:r>
          </w:p>
        </w:tc>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Quarterly fraud loss reduction report; ROI estimate vs prior-year baseline; cost of model infrastructure</w:t>
            </w:r>
          </w:p>
        </w:tc>
        <w:tc>
          <w:tcPr>
            <w:tcW w:type="dxa" w:w="18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Quarterly</w:t>
            </w:r>
          </w:p>
        </w:tc>
        <w:tc>
          <w:tcPr>
            <w:tcW w:type="dxa" w:w="144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Executive summary email</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Low</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S07</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External Regulator</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Model card; explainability methodology; audit log policy; DPDP Act compliance confirmation; fair-lending rationale</w:t>
            </w:r>
          </w:p>
        </w:tc>
        <w:tc>
          <w:tcPr>
            <w:tcW w:type="dxa" w:w="18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On request</w:t>
            </w:r>
          </w:p>
        </w:tc>
        <w:tc>
          <w:tcPr>
            <w:tcW w:type="dxa" w:w="14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Formal documentation pack</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Medium</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S08</w:t>
            </w:r>
          </w:p>
        </w:tc>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Academic Supervisor</w:t>
            </w:r>
          </w:p>
        </w:tc>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Deliverable submissions; methodology rationale; EDA notebook; model evaluation results; project progress updates</w:t>
            </w:r>
          </w:p>
        </w:tc>
        <w:tc>
          <w:tcPr>
            <w:tcW w:type="dxa" w:w="18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Per deliverable</w:t>
            </w:r>
          </w:p>
        </w:tc>
        <w:tc>
          <w:tcPr>
            <w:tcW w:type="dxa" w:w="144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Submission + meeting</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High</w:t>
            </w:r>
          </w:p>
        </w:tc>
      </w:tr>
    </w:tbl>
    <w:p>
      <w:pPr>
        <w:spacing w:before="60" w:after="60"/>
      </w:pPr>
      <w:r>
        <w:t xml:space="preserve"/>
      </w:r>
    </w:p>
    <w:p>
      <w:pPr>
        <w:spacing w:before="280" w:after="100"/>
      </w:pPr>
      <w:r>
        <w:rPr>
          <w:rFonts w:ascii="Arial" w:cs="Arial" w:eastAsia="Arial" w:hAnsi="Arial"/>
          <w:b/>
          <w:bCs/>
          <w:color w:val="000000"/>
          <w:sz w:val="22"/>
          <w:szCs w:val="22"/>
        </w:rPr>
        <w:t xml:space="preserve">6.  Stakeholder Engagement Risks</w:t>
      </w:r>
    </w:p>
    <w:p>
      <w:pPr>
        <w:spacing w:before="60" w:after="60"/>
      </w:pPr>
      <w:r>
        <w:rPr>
          <w:rFonts w:ascii="Arial" w:cs="Arial" w:eastAsia="Arial" w:hAnsi="Arial"/>
          <w:color w:val="111111"/>
          <w:sz w:val="20"/>
          <w:szCs w:val="20"/>
        </w:rPr>
        <w:t xml:space="preserve">The following risks relate specifically to stakeholder engagement. If these materialise they could affect project delivery, acceptance, or compliance sign-off.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400"/>
        <w:gridCol w:w="1560"/>
        <w:gridCol w:w="2700"/>
      </w:tblGrid>
      <w:tr>
        <w:tc>
          <w:tcPr>
            <w:tcW w:type="dxa" w:w="5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ID</w:t>
            </w:r>
          </w:p>
        </w:tc>
        <w:tc>
          <w:tcPr>
            <w:tcW w:type="dxa" w:w="17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Stakeholder</w:t>
            </w:r>
          </w:p>
        </w:tc>
        <w:tc>
          <w:tcPr>
            <w:tcW w:type="dxa" w:w="2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Risk</w:t>
            </w:r>
          </w:p>
        </w:tc>
        <w:tc>
          <w:tcPr>
            <w:tcW w:type="dxa" w:w="15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Likelihood</w:t>
            </w:r>
          </w:p>
        </w:tc>
        <w:tc>
          <w:tcPr>
            <w:tcW w:type="dxa" w:w="27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Mitigation</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S01</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Head of Risk</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Dissatisfied with fraud detection rate; withdraws support</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Medium</w:t>
            </w:r>
          </w:p>
        </w:tc>
        <w:tc>
          <w:tcPr>
            <w:tcW w:type="dxa" w:w="2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Demonstrate recall and AUC targets met; weekly KPI sharing</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S02</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Compliance Officer</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Blocks go-live due to PII or explainability concerns</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Low</w:t>
            </w:r>
          </w:p>
        </w:tc>
        <w:tc>
          <w:tcPr>
            <w:tcW w:type="dxa" w:w="2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Involve from Week 1; ensure SHAP outputs and audit logs meet spec before review</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S03</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Loan Officers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Reject tool due to high false-positive rate or unclear flags</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Medium</w:t>
            </w:r>
          </w:p>
        </w:tc>
        <w:tc>
          <w:tcPr>
            <w:tcW w:type="dxa" w:w="2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Keep FPR &lt;= 15%; deliver SHAP-based explanations; run pre-deployment training</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S04</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IT / Data Engineers</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Integration delays due to unclear API spec or environment issues</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Medium</w:t>
            </w:r>
          </w:p>
        </w:tc>
        <w:tc>
          <w:tcPr>
            <w:tcW w:type="dxa" w:w="2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Share FRD API spec by Week 6; allocate integration scoping from Week 2</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S06</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CFO</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Questions ROI; reduces project budget or priority</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Low</w:t>
            </w:r>
          </w:p>
        </w:tc>
        <w:tc>
          <w:tcPr>
            <w:tcW w:type="dxa" w:w="2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Provide quarterly financial impact report; tie outcomes to fraud write-off reduction</w:t>
            </w:r>
          </w:p>
        </w:tc>
      </w:tr>
      <w:tr>
        <w:tc>
          <w:tcPr>
            <w:tcW w:type="dxa" w:w="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S07</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External Regulator</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Finds model non-compliant; requires rework or prohibits deployment</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Low</w:t>
            </w:r>
          </w:p>
        </w:tc>
        <w:tc>
          <w:tcPr>
            <w:tcW w:type="dxa" w:w="2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Follow DPDP Act and RBI guidelines from the start; document all decisions</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S08</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Academic Supervisor</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Unsatisfied with methodology or documentation quality</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Low</w:t>
            </w:r>
          </w:p>
        </w:tc>
        <w:tc>
          <w:tcPr>
            <w:tcW w:type="dxa" w:w="2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Submit deliverables on time; incorporate feedback promptly; maintain document series</w:t>
            </w:r>
          </w:p>
        </w:tc>
      </w:tr>
    </w:tbl>
    <w:p>
      <w:pPr>
        <w:spacing w:before="60" w:after="60"/>
      </w:pPr>
      <w:r>
        <w:t xml:space="preserve"/>
      </w:r>
    </w:p>
    <w:p>
      <w:pPr>
        <w:spacing w:before="280" w:after="100"/>
      </w:pPr>
      <w:r>
        <w:rPr>
          <w:rFonts w:ascii="Arial" w:cs="Arial" w:eastAsia="Arial" w:hAnsi="Arial"/>
          <w:b/>
          <w:bCs/>
          <w:color w:val="000000"/>
          <w:sz w:val="22"/>
          <w:szCs w:val="22"/>
        </w:rPr>
        <w:t xml:space="preserve">7.  Notes</w:t>
      </w:r>
    </w:p>
    <w:p>
      <w:pPr>
        <w:pStyle w:val="ListParagraph"/>
        <w:numPr>
          <w:ilvl w:val="0"/>
          <w:numId w:val="2"/>
        </w:numPr>
        <w:spacing w:before="40" w:after="40"/>
      </w:pPr>
      <w:r>
        <w:rPr>
          <w:rFonts w:ascii="Arial" w:cs="Arial" w:eastAsia="Arial" w:hAnsi="Arial"/>
          <w:color w:val="111111"/>
          <w:sz w:val="20"/>
          <w:szCs w:val="20"/>
        </w:rPr>
        <w:t xml:space="preserve">S05 (Data Scientist / Author) is the sole active contributor on this solo project. All Responsible designations in the RACI reflect this. Accountable roles are shared with the Academic Supervisor (S08) for deliverable sign-off purposes.</w:t>
      </w:r>
    </w:p>
    <w:p>
      <w:pPr>
        <w:pStyle w:val="ListParagraph"/>
        <w:numPr>
          <w:ilvl w:val="0"/>
          <w:numId w:val="2"/>
        </w:numPr>
        <w:spacing w:before="40" w:after="40"/>
      </w:pPr>
      <w:r>
        <w:rPr>
          <w:rFonts w:ascii="Arial" w:cs="Arial" w:eastAsia="Arial" w:hAnsi="Arial"/>
          <w:color w:val="111111"/>
          <w:sz w:val="20"/>
          <w:szCs w:val="20"/>
        </w:rPr>
        <w:t xml:space="preserve">S06 (CFO) and S07 (External Regulator) are simulated stakeholders represented by the project owner. Their requirements have been derived from published RBI guidelines, DPDP Act 2023, and standard financial institution governance frameworks.</w:t>
      </w:r>
    </w:p>
    <w:p>
      <w:pPr>
        <w:pStyle w:val="ListParagraph"/>
        <w:numPr>
          <w:ilvl w:val="0"/>
          <w:numId w:val="2"/>
        </w:numPr>
        <w:spacing w:before="40" w:after="40"/>
      </w:pPr>
      <w:r>
        <w:rPr>
          <w:rFonts w:ascii="Arial" w:cs="Arial" w:eastAsia="Arial" w:hAnsi="Arial"/>
          <w:color w:val="111111"/>
          <w:sz w:val="20"/>
          <w:szCs w:val="20"/>
        </w:rPr>
        <w:t xml:space="preserve">S03 (Loan Officers) are the primary end users of the fraud flag output. Their need for low false-positive rates and clear SHAP-based explanations directly shaped FR-08 and the threshold design in FDS-FRD-001 Section 6.</w:t>
      </w:r>
    </w:p>
    <w:p>
      <w:pPr>
        <w:pStyle w:val="ListParagraph"/>
        <w:numPr>
          <w:ilvl w:val="0"/>
          <w:numId w:val="2"/>
        </w:numPr>
        <w:spacing w:before="40" w:after="40"/>
      </w:pPr>
      <w:r>
        <w:rPr>
          <w:rFonts w:ascii="Arial" w:cs="Arial" w:eastAsia="Arial" w:hAnsi="Arial"/>
          <w:color w:val="111111"/>
          <w:sz w:val="20"/>
          <w:szCs w:val="20"/>
        </w:rPr>
        <w:t xml:space="preserve">The engagement plan will be reviewed and updated at each project milestone. Any stakeholder whose influence or interest level changes materially should be reclassified in this document.</w:t>
      </w:r>
    </w:p>
    <w:p>
      <w:pPr>
        <w:pStyle w:val="ListParagraph"/>
        <w:numPr>
          <w:ilvl w:val="0"/>
          <w:numId w:val="2"/>
        </w:numPr>
        <w:spacing w:before="40" w:after="40"/>
      </w:pPr>
      <w:r>
        <w:rPr>
          <w:rFonts w:ascii="Arial" w:cs="Arial" w:eastAsia="Arial" w:hAnsi="Arial"/>
          <w:color w:val="111111"/>
          <w:sz w:val="20"/>
          <w:szCs w:val="20"/>
        </w:rPr>
        <w:t xml:space="preserve">All formal communications (reports, deliverables, sign-off requests) are logged in the project audit trail alongside technical artefacts.</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2026-03-20T07:41:47.188Z</dcterms:created>
  <dcterms:modified xsi:type="dcterms:W3CDTF">2026-03-20T07:41:47.189Z</dcterms:modified>
</cp:coreProperties>
</file>

<file path=docProps/custom.xml><?xml version="1.0" encoding="utf-8"?>
<Properties xmlns="http://schemas.openxmlformats.org/officeDocument/2006/custom-properties" xmlns:vt="http://schemas.openxmlformats.org/officeDocument/2006/docPropsVTypes"/>
</file>