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000000"/>
          <w:sz w:val="52"/>
          <w:szCs w:val="52"/>
        </w:rPr>
        <w:t xml:space="preserve">USE CASE SPECIFICATION</w:t>
      </w:r>
    </w:p>
    <w:p>
      <w:pPr>
        <w:spacing w:before="0" w:after="60"/>
      </w:pPr>
      <w:r>
        <w:rPr>
          <w:rFonts w:ascii="Arial" w:cs="Arial" w:eastAsia="Arial" w:hAnsi="Arial"/>
          <w:color w:val="444444"/>
          <w:sz w:val="26"/>
          <w:szCs w:val="26"/>
        </w:rPr>
        <w:t xml:space="preserve">Fraud Detection System — Loan Applications</w:t>
      </w:r>
    </w:p>
    <w:p>
      <w:pPr>
        <w:spacing w:before="0" w:after="0"/>
      </w:pPr>
      <w:r>
        <w:rPr>
          <w:rFonts w:ascii="Arial" w:cs="Arial" w:eastAsia="Arial" w:hAnsi="Arial"/>
          <w:color w:val="444444"/>
          <w:sz w:val="19"/>
          <w:szCs w:val="19"/>
        </w:rPr>
        <w:t xml:space="preserve">Version 1.0   |   March 2026   |   Solo Project</w:t>
      </w:r>
    </w:p>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Project Name</w:t>
            </w:r>
          </w:p>
        </w:tc>
        <w:tc>
          <w:tcPr>
            <w:tcW w:type="dxa" w:w="71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Fraud Detection System — Loan Applications</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Version</w:t>
            </w:r>
          </w:p>
        </w:tc>
        <w:tc>
          <w:tcPr>
            <w:tcW w:type="dxa" w:w="71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1.0</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Date</w:t>
            </w:r>
          </w:p>
        </w:tc>
        <w:tc>
          <w:tcPr>
            <w:tcW w:type="dxa" w:w="71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20 March 2026</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Prepared By</w:t>
            </w:r>
          </w:p>
        </w:tc>
        <w:tc>
          <w:tcPr>
            <w:tcW w:type="dxa" w:w="71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Solo Project</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Status</w:t>
            </w:r>
          </w:p>
        </w:tc>
        <w:tc>
          <w:tcPr>
            <w:tcW w:type="dxa" w:w="71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Draft</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Document ID</w:t>
            </w:r>
          </w:p>
        </w:tc>
        <w:tc>
          <w:tcPr>
            <w:tcW w:type="dxa" w:w="71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FDS-UC-001</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Related Docs</w:t>
            </w:r>
          </w:p>
        </w:tc>
        <w:tc>
          <w:tcPr>
            <w:tcW w:type="dxa" w:w="71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FDS-BRD-001, FDS-FRD-001, FDS-PF-001, FDS-UAT-001</w:t>
            </w:r>
          </w:p>
        </w:tc>
      </w:tr>
    </w:tbl>
    <w:p>
      <w:pPr>
        <w:spacing w:before="60" w:after="60"/>
      </w:pPr>
      <w:r>
        <w:t xml:space="preserve"/>
      </w:r>
    </w:p>
    <w:p>
      <w:pPr>
        <w:spacing w:before="280" w:after="100"/>
      </w:pPr>
      <w:r>
        <w:rPr>
          <w:rFonts w:ascii="Arial" w:cs="Arial" w:eastAsia="Arial" w:hAnsi="Arial"/>
          <w:b/>
          <w:bCs/>
          <w:color w:val="000000"/>
          <w:sz w:val="22"/>
          <w:szCs w:val="22"/>
        </w:rPr>
        <w:t xml:space="preserve">1.  Purpose</w:t>
      </w:r>
    </w:p>
    <w:p>
      <w:pPr>
        <w:spacing w:before="60" w:after="60"/>
      </w:pPr>
      <w:r>
        <w:rPr>
          <w:rFonts w:ascii="Arial" w:cs="Arial" w:eastAsia="Arial" w:hAnsi="Arial"/>
          <w:color w:val="111111"/>
          <w:sz w:val="20"/>
          <w:szCs w:val="20"/>
        </w:rPr>
        <w:t xml:space="preserve">This document specifies the eight use cases that define how each actor interacts with the Fraud Detection System. Each use case describes the actor, preconditions, trigger, main flow, alternative or exception flows, and postconditions. Together they provide a complete behavioural specification of the system from the perspective of each user or automated process.</w:t>
      </w:r>
    </w:p>
    <w:p>
      <w:pPr>
        <w:spacing w:before="60" w:after="60"/>
      </w:pPr>
      <w:r>
        <w:rPr>
          <w:rFonts w:ascii="Arial" w:cs="Arial" w:eastAsia="Arial" w:hAnsi="Arial"/>
          <w:color w:val="111111"/>
          <w:sz w:val="20"/>
          <w:szCs w:val="20"/>
        </w:rPr>
        <w:t xml:space="preserve">This document should be read alongside the Functional Requirements Document (FDS-FRD-001), which defines what the system must do at a technical level, and the Process Flow Document (FDS-PF-001), which describes the end-to-end lifecycle across all actors.</w:t>
      </w:r>
    </w:p>
    <w:p>
      <w:pPr>
        <w:spacing w:before="60" w:after="60"/>
      </w:pPr>
      <w:r>
        <w:t xml:space="preserve"/>
      </w:r>
    </w:p>
    <w:p>
      <w:pPr>
        <w:spacing w:before="280" w:after="100"/>
      </w:pPr>
      <w:r>
        <w:rPr>
          <w:rFonts w:ascii="Arial" w:cs="Arial" w:eastAsia="Arial" w:hAnsi="Arial"/>
          <w:b/>
          <w:bCs/>
          <w:color w:val="000000"/>
          <w:sz w:val="22"/>
          <w:szCs w:val="22"/>
        </w:rPr>
        <w:t xml:space="preserve">2.  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800"/>
        <w:gridCol w:w="4560"/>
      </w:tblGrid>
      <w:tr>
        <w:tc>
          <w:tcPr>
            <w:tcW w:type="dxa" w:w="16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Actor</w:t>
            </w:r>
          </w:p>
        </w:tc>
        <w:tc>
          <w:tcPr>
            <w:tcW w:type="dxa" w:w="14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Type</w:t>
            </w:r>
          </w:p>
        </w:tc>
        <w:tc>
          <w:tcPr>
            <w:tcW w:type="dxa" w:w="18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Use Cases</w:t>
            </w:r>
          </w:p>
        </w:tc>
        <w:tc>
          <w:tcPr>
            <w:tcW w:type="dxa" w:w="456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Description</w:t>
            </w:r>
          </w:p>
        </w:tc>
      </w:tr>
      <w:tr>
        <w:tc>
          <w:tcPr>
            <w:tcW w:type="dxa" w:w="1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Applicant</w:t>
            </w:r>
          </w:p>
        </w:tc>
        <w:tc>
          <w:tcPr>
            <w:tcW w:type="dxa" w:w="1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External</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UC-01</w:t>
            </w:r>
          </w:p>
        </w:tc>
        <w:tc>
          <w:tcPr>
            <w:tcW w:type="dxa" w:w="4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Submits loan application; has no visibility into the scoring process</w:t>
            </w:r>
          </w:p>
        </w:tc>
      </w:tr>
      <w:tr>
        <w:tc>
          <w:tcPr>
            <w:tcW w:type="dxa" w:w="16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Fraud Detection System</w:t>
            </w:r>
          </w:p>
        </w:tc>
        <w:tc>
          <w:tcPr>
            <w:tcW w:type="dxa" w:w="14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Automated</w:t>
            </w:r>
          </w:p>
        </w:tc>
        <w:tc>
          <w:tcPr>
            <w:tcW w:type="dxa" w:w="18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UC-02, UC-05, UC-06</w:t>
            </w:r>
          </w:p>
        </w:tc>
        <w:tc>
          <w:tcPr>
            <w:tcW w:type="dxa" w:w="45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Core automated actor; scores, routes, logs, and enforces business rules without human intervention</w:t>
            </w:r>
          </w:p>
        </w:tc>
      </w:tr>
      <w:tr>
        <w:tc>
          <w:tcPr>
            <w:tcW w:type="dxa" w:w="1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Risk Analyst</w:t>
            </w:r>
          </w:p>
        </w:tc>
        <w:tc>
          <w:tcPr>
            <w:tcW w:type="dxa" w:w="1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Internal</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UC-03, UC-04</w:t>
            </w:r>
          </w:p>
        </w:tc>
        <w:tc>
          <w:tcPr>
            <w:tcW w:type="dxa" w:w="4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Reviews High-risk flagged applications; makes Approve / Refer / Reject decision</w:t>
            </w:r>
          </w:p>
        </w:tc>
      </w:tr>
      <w:tr>
        <w:tc>
          <w:tcPr>
            <w:tcW w:type="dxa" w:w="16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Compliance Officer</w:t>
            </w:r>
          </w:p>
        </w:tc>
        <w:tc>
          <w:tcPr>
            <w:tcW w:type="dxa" w:w="14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Internal</w:t>
            </w:r>
          </w:p>
        </w:tc>
        <w:tc>
          <w:tcPr>
            <w:tcW w:type="dxa" w:w="18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UC-04, UC-08</w:t>
            </w:r>
          </w:p>
        </w:tc>
        <w:tc>
          <w:tcPr>
            <w:tcW w:type="dxa" w:w="45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Receives escalated cases from Risk Analyst; makes final decisions; can override model output</w:t>
            </w:r>
          </w:p>
        </w:tc>
      </w:tr>
      <w:tr>
        <w:tc>
          <w:tcPr>
            <w:tcW w:type="dxa" w:w="1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Head of Risk</w:t>
            </w:r>
          </w:p>
        </w:tc>
        <w:tc>
          <w:tcPr>
            <w:tcW w:type="dxa" w:w="1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Internal</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UC-07</w:t>
            </w:r>
          </w:p>
        </w:tc>
        <w:tc>
          <w:tcPr>
            <w:tcW w:type="dxa" w:w="4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Monitors aggregate fraud KPIs via dashboard; does not interact with individual applications</w:t>
            </w:r>
          </w:p>
        </w:tc>
      </w:tr>
      <w:tr>
        <w:tc>
          <w:tcPr>
            <w:tcW w:type="dxa" w:w="16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Academic Supervisor</w:t>
            </w:r>
          </w:p>
        </w:tc>
        <w:tc>
          <w:tcPr>
            <w:tcW w:type="dxa" w:w="14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External</w:t>
            </w:r>
          </w:p>
        </w:tc>
        <w:tc>
          <w:tcPr>
            <w:tcW w:type="dxa" w:w="18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Sign-off only</w:t>
            </w:r>
          </w:p>
        </w:tc>
        <w:tc>
          <w:tcPr>
            <w:tcW w:type="dxa" w:w="45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Reviews use case specification for academic completeness; no operational system role</w:t>
            </w:r>
          </w:p>
        </w:tc>
      </w:tr>
    </w:tbl>
    <w:p>
      <w:pPr>
        <w:spacing w:before="60" w:after="60"/>
      </w:pPr>
      <w:r>
        <w:t xml:space="preserve"/>
      </w:r>
    </w:p>
    <w:p>
      <w:pPr>
        <w:spacing w:before="280" w:after="100"/>
      </w:pPr>
      <w:r>
        <w:rPr>
          <w:rFonts w:ascii="Arial" w:cs="Arial" w:eastAsia="Arial" w:hAnsi="Arial"/>
          <w:b/>
          <w:bCs/>
          <w:color w:val="000000"/>
          <w:sz w:val="22"/>
          <w:szCs w:val="22"/>
        </w:rPr>
        <w:t xml:space="preserve">3.  Use Case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600"/>
        <w:gridCol w:w="1560"/>
        <w:gridCol w:w="2600"/>
      </w:tblGrid>
      <w:tr>
        <w:tc>
          <w:tcPr>
            <w:tcW w:type="dxa" w:w="8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ID</w:t>
            </w:r>
          </w:p>
        </w:tc>
        <w:tc>
          <w:tcPr>
            <w:tcW w:type="dxa" w:w="28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Use Case</w:t>
            </w:r>
          </w:p>
        </w:tc>
        <w:tc>
          <w:tcPr>
            <w:tcW w:type="dxa" w:w="16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Primary Actor</w:t>
            </w:r>
          </w:p>
        </w:tc>
        <w:tc>
          <w:tcPr>
            <w:tcW w:type="dxa" w:w="156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Type</w:t>
            </w:r>
          </w:p>
        </w:tc>
        <w:tc>
          <w:tcPr>
            <w:tcW w:type="dxa" w:w="26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Description</w:t>
            </w:r>
          </w:p>
        </w:tc>
      </w:tr>
      <w:tr>
        <w:tc>
          <w:tcPr>
            <w:tcW w:type="dxa" w:w="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UC-01</w:t>
            </w:r>
          </w:p>
        </w:tc>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Submit Loan Application</w:t>
            </w:r>
          </w:p>
        </w:tc>
        <w:tc>
          <w:tcPr>
            <w:tcW w:type="dxa" w:w="1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Applicant</w:t>
            </w:r>
          </w:p>
        </w:tc>
        <w:tc>
          <w:tcPr>
            <w:tcW w:type="dxa" w:w="1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External</w:t>
            </w:r>
          </w:p>
        </w:tc>
        <w:tc>
          <w:tcPr>
            <w:tcW w:type="dxa" w:w="2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Initiates the loan application process; entry point for all subsequent use cases</w:t>
            </w:r>
          </w:p>
        </w:tc>
      </w:tr>
      <w:tr>
        <w:tc>
          <w:tcPr>
            <w:tcW w:type="dxa" w:w="8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UC-02</w:t>
            </w:r>
          </w:p>
        </w:tc>
        <w:tc>
          <w:tcPr>
            <w:tcW w:type="dxa" w:w="28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Score Application for Fraud Risk</w:t>
            </w:r>
          </w:p>
        </w:tc>
        <w:tc>
          <w:tcPr>
            <w:tcW w:type="dxa" w:w="16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Fraud Detection System</w:t>
            </w:r>
          </w:p>
        </w:tc>
        <w:tc>
          <w:tcPr>
            <w:tcW w:type="dxa" w:w="15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Automated</w:t>
            </w:r>
          </w:p>
        </w:tc>
        <w:tc>
          <w:tcPr>
            <w:tcW w:type="dxa" w:w="26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Core use case; every validated application passes through this</w:t>
            </w:r>
          </w:p>
        </w:tc>
      </w:tr>
      <w:tr>
        <w:tc>
          <w:tcPr>
            <w:tcW w:type="dxa" w:w="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UC-03</w:t>
            </w:r>
          </w:p>
        </w:tc>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Review Flagged Application</w:t>
            </w:r>
          </w:p>
        </w:tc>
        <w:tc>
          <w:tcPr>
            <w:tcW w:type="dxa" w:w="1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Risk Analyst</w:t>
            </w:r>
          </w:p>
        </w:tc>
        <w:tc>
          <w:tcPr>
            <w:tcW w:type="dxa" w:w="1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Internal</w:t>
            </w:r>
          </w:p>
        </w:tc>
        <w:tc>
          <w:tcPr>
            <w:tcW w:type="dxa" w:w="2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Triggered for all High-risk applications (score &gt;= 75)</w:t>
            </w:r>
          </w:p>
        </w:tc>
      </w:tr>
      <w:tr>
        <w:tc>
          <w:tcPr>
            <w:tcW w:type="dxa" w:w="8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UC-04</w:t>
            </w:r>
          </w:p>
        </w:tc>
        <w:tc>
          <w:tcPr>
            <w:tcW w:type="dxa" w:w="28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Escalate to Compliance</w:t>
            </w:r>
          </w:p>
        </w:tc>
        <w:tc>
          <w:tcPr>
            <w:tcW w:type="dxa" w:w="16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Risk Analyst / Compliance Officer</w:t>
            </w:r>
          </w:p>
        </w:tc>
        <w:tc>
          <w:tcPr>
            <w:tcW w:type="dxa" w:w="15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Internal</w:t>
            </w:r>
          </w:p>
        </w:tc>
        <w:tc>
          <w:tcPr>
            <w:tcW w:type="dxa" w:w="26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Triggered when Risk Analyst selects Refer in UC-03</w:t>
            </w:r>
          </w:p>
        </w:tc>
      </w:tr>
      <w:tr>
        <w:tc>
          <w:tcPr>
            <w:tcW w:type="dxa" w:w="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UC-05</w:t>
            </w:r>
          </w:p>
        </w:tc>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Auto-reject Blacklisted Applicant</w:t>
            </w:r>
          </w:p>
        </w:tc>
        <w:tc>
          <w:tcPr>
            <w:tcW w:type="dxa" w:w="1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System</w:t>
            </w:r>
          </w:p>
        </w:tc>
        <w:tc>
          <w:tcPr>
            <w:tcW w:type="dxa" w:w="1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Automated</w:t>
            </w:r>
          </w:p>
        </w:tc>
        <w:tc>
          <w:tcPr>
            <w:tcW w:type="dxa" w:w="2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Pre-score rule; bypasses UC-02 entirely</w:t>
            </w:r>
          </w:p>
        </w:tc>
      </w:tr>
      <w:tr>
        <w:tc>
          <w:tcPr>
            <w:tcW w:type="dxa" w:w="8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UC-06</w:t>
            </w:r>
          </w:p>
        </w:tc>
        <w:tc>
          <w:tcPr>
            <w:tcW w:type="dxa" w:w="28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Generate Audit Log Entry</w:t>
            </w:r>
          </w:p>
        </w:tc>
        <w:tc>
          <w:tcPr>
            <w:tcW w:type="dxa" w:w="16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System</w:t>
            </w:r>
          </w:p>
        </w:tc>
        <w:tc>
          <w:tcPr>
            <w:tcW w:type="dxa" w:w="15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Automated</w:t>
            </w:r>
          </w:p>
        </w:tc>
        <w:tc>
          <w:tcPr>
            <w:tcW w:type="dxa" w:w="26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Triggered by every action in UC-02 through UC-08</w:t>
            </w:r>
          </w:p>
        </w:tc>
      </w:tr>
      <w:tr>
        <w:tc>
          <w:tcPr>
            <w:tcW w:type="dxa" w:w="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UC-07</w:t>
            </w:r>
          </w:p>
        </w:tc>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View Fraud Risk Dashboard</w:t>
            </w:r>
          </w:p>
        </w:tc>
        <w:tc>
          <w:tcPr>
            <w:tcW w:type="dxa" w:w="1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Head of Risk</w:t>
            </w:r>
          </w:p>
        </w:tc>
        <w:tc>
          <w:tcPr>
            <w:tcW w:type="dxa" w:w="1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Internal</w:t>
            </w:r>
          </w:p>
        </w:tc>
        <w:tc>
          <w:tcPr>
            <w:tcW w:type="dxa" w:w="2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Ongoing operational monitoring; not part of the application flow</w:t>
            </w:r>
          </w:p>
        </w:tc>
      </w:tr>
      <w:tr>
        <w:tc>
          <w:tcPr>
            <w:tcW w:type="dxa" w:w="8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UC-08</w:t>
            </w:r>
          </w:p>
        </w:tc>
        <w:tc>
          <w:tcPr>
            <w:tcW w:type="dxa" w:w="28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Override Model Decision</w:t>
            </w:r>
          </w:p>
        </w:tc>
        <w:tc>
          <w:tcPr>
            <w:tcW w:type="dxa" w:w="16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Compliance Officer</w:t>
            </w:r>
          </w:p>
        </w:tc>
        <w:tc>
          <w:tcPr>
            <w:tcW w:type="dxa" w:w="15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Internal</w:t>
            </w:r>
          </w:p>
        </w:tc>
        <w:tc>
          <w:tcPr>
            <w:tcW w:type="dxa" w:w="26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Exception use case; used when system decision is challenged</w:t>
            </w:r>
          </w:p>
        </w:tc>
      </w:tr>
    </w:tbl>
    <w:p>
      <w:pPr>
        <w:spacing w:before="60" w:after="60"/>
      </w:pPr>
      <w:r>
        <w:t xml:space="preserve"/>
      </w:r>
    </w:p>
    <w:p>
      <w:pPr>
        <w:spacing w:before="280" w:after="100"/>
      </w:pPr>
      <w:r>
        <w:rPr>
          <w:rFonts w:ascii="Arial" w:cs="Arial" w:eastAsia="Arial" w:hAnsi="Arial"/>
          <w:b/>
          <w:bCs/>
          <w:color w:val="000000"/>
          <w:sz w:val="22"/>
          <w:szCs w:val="22"/>
        </w:rPr>
        <w:t xml:space="preserve">4.  Use Case Relationships</w:t>
      </w:r>
    </w:p>
    <w:p>
      <w:pPr>
        <w:spacing w:before="60" w:after="60"/>
      </w:pPr>
      <w:r>
        <w:rPr>
          <w:rFonts w:ascii="Arial" w:cs="Arial" w:eastAsia="Arial" w:hAnsi="Arial"/>
          <w:color w:val="111111"/>
          <w:sz w:val="20"/>
          <w:szCs w:val="20"/>
        </w:rPr>
        <w:t xml:space="preserve">The table below defines how use cases trigger, extend, or include one another. UC-06 (Generate Audit Log Entry) is an include relationship from every other use case — every action in the system produces an audit log entry.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2160"/>
        <w:gridCol w:w="5200"/>
      </w:tblGrid>
      <w:tr>
        <w:tc>
          <w:tcPr>
            <w:tcW w:type="dxa" w:w="10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From</w:t>
            </w:r>
          </w:p>
        </w:tc>
        <w:tc>
          <w:tcPr>
            <w:tcW w:type="dxa" w:w="10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To</w:t>
            </w:r>
          </w:p>
        </w:tc>
        <w:tc>
          <w:tcPr>
            <w:tcW w:type="dxa" w:w="216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Relationship</w:t>
            </w:r>
          </w:p>
        </w:tc>
        <w:tc>
          <w:tcPr>
            <w:tcW w:type="dxa" w:w="52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Description</w:t>
            </w:r>
          </w:p>
        </w:tc>
      </w:tr>
      <w:tr>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UC-01</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UC-02</w:t>
            </w:r>
          </w:p>
        </w:tc>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Triggers (include)</w:t>
            </w:r>
          </w:p>
        </w:tc>
        <w:tc>
          <w:tcPr>
            <w:tcW w:type="dxa" w:w="5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 successfully validated application from UC-01 automatically triggers UC-02 for fraud scoring</w:t>
            </w:r>
          </w:p>
        </w:tc>
      </w:tr>
      <w:tr>
        <w:tc>
          <w:tcPr>
            <w:tcW w:type="dxa" w:w="10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UC-01</w:t>
            </w:r>
          </w:p>
        </w:tc>
        <w:tc>
          <w:tcPr>
            <w:tcW w:type="dxa" w:w="10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UC-05</w:t>
            </w:r>
          </w:p>
        </w:tc>
        <w:tc>
          <w:tcPr>
            <w:tcW w:type="dxa" w:w="21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Triggers (branch)</w:t>
            </w:r>
          </w:p>
        </w:tc>
        <w:tc>
          <w:tcPr>
            <w:tcW w:type="dxa" w:w="52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If Blacklists = Yes is detected post-validation, UC-05 executes instead of UC-02</w:t>
            </w:r>
          </w:p>
        </w:tc>
      </w:tr>
      <w:tr>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UC-02</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UC-06</w:t>
            </w:r>
          </w:p>
        </w:tc>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Triggers (include)</w:t>
            </w:r>
          </w:p>
        </w:tc>
        <w:tc>
          <w:tcPr>
            <w:tcW w:type="dxa" w:w="5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Every scoring event in UC-02 automatically triggers UC-06 to write an audit log entry</w:t>
            </w:r>
          </w:p>
        </w:tc>
      </w:tr>
      <w:tr>
        <w:tc>
          <w:tcPr>
            <w:tcW w:type="dxa" w:w="10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UC-03</w:t>
            </w:r>
          </w:p>
        </w:tc>
        <w:tc>
          <w:tcPr>
            <w:tcW w:type="dxa" w:w="10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UC-06</w:t>
            </w:r>
          </w:p>
        </w:tc>
        <w:tc>
          <w:tcPr>
            <w:tcW w:type="dxa" w:w="21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Triggers (include)</w:t>
            </w:r>
          </w:p>
        </w:tc>
        <w:tc>
          <w:tcPr>
            <w:tcW w:type="dxa" w:w="52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Every analyst decision in UC-03 automatically triggers UC-06 to log the decision</w:t>
            </w:r>
          </w:p>
        </w:tc>
      </w:tr>
      <w:tr>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UC-03</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UC-04</w:t>
            </w:r>
          </w:p>
        </w:tc>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Triggers (extend)</w:t>
            </w:r>
          </w:p>
        </w:tc>
        <w:tc>
          <w:tcPr>
            <w:tcW w:type="dxa" w:w="5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When the analyst selects Refer in UC-03, UC-04 is triggered as an extension</w:t>
            </w:r>
          </w:p>
        </w:tc>
      </w:tr>
      <w:tr>
        <w:tc>
          <w:tcPr>
            <w:tcW w:type="dxa" w:w="10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UC-04</w:t>
            </w:r>
          </w:p>
        </w:tc>
        <w:tc>
          <w:tcPr>
            <w:tcW w:type="dxa" w:w="10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UC-06</w:t>
            </w:r>
          </w:p>
        </w:tc>
        <w:tc>
          <w:tcPr>
            <w:tcW w:type="dxa" w:w="21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Triggers (include)</w:t>
            </w:r>
          </w:p>
        </w:tc>
        <w:tc>
          <w:tcPr>
            <w:tcW w:type="dxa" w:w="52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Every compliance decision in UC-04 automatically triggers UC-06 for logging</w:t>
            </w:r>
          </w:p>
        </w:tc>
      </w:tr>
      <w:tr>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UC-05</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UC-06</w:t>
            </w:r>
          </w:p>
        </w:tc>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Triggers (include)</w:t>
            </w:r>
          </w:p>
        </w:tc>
        <w:tc>
          <w:tcPr>
            <w:tcW w:type="dxa" w:w="5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Every auto-reject event in UC-05 automatically triggers UC-06 to log the rejection</w:t>
            </w:r>
          </w:p>
        </w:tc>
      </w:tr>
      <w:tr>
        <w:tc>
          <w:tcPr>
            <w:tcW w:type="dxa" w:w="10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UC-08</w:t>
            </w:r>
          </w:p>
        </w:tc>
        <w:tc>
          <w:tcPr>
            <w:tcW w:type="dxa" w:w="10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UC-06</w:t>
            </w:r>
          </w:p>
        </w:tc>
        <w:tc>
          <w:tcPr>
            <w:tcW w:type="dxa" w:w="21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Triggers (include)</w:t>
            </w:r>
          </w:p>
        </w:tc>
        <w:tc>
          <w:tcPr>
            <w:tcW w:type="dxa" w:w="52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Every override action in UC-08 triggers UC-06 with an override flag in the audit entry</w:t>
            </w:r>
          </w:p>
        </w:tc>
      </w:tr>
      <w:tr>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UC-07</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UC-03</w:t>
            </w:r>
          </w:p>
        </w:tc>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Navigates to</w:t>
            </w:r>
          </w:p>
        </w:tc>
        <w:tc>
          <w:tcPr>
            <w:tcW w:type="dxa" w:w="5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Head of Risk can drill into individual flagged applications from the dashboard, navigating to UC-03</w:t>
            </w:r>
          </w:p>
        </w:tc>
      </w:tr>
    </w:tbl>
    <w:p>
      <w:pPr>
        <w:spacing w:before="60" w:after="60"/>
      </w:pPr>
      <w:r>
        <w:t xml:space="preserve"/>
      </w:r>
    </w:p>
    <w:p>
      <w:pPr>
        <w:spacing w:before="280" w:after="100"/>
      </w:pPr>
      <w:r>
        <w:rPr>
          <w:rFonts w:ascii="Arial" w:cs="Arial" w:eastAsia="Arial" w:hAnsi="Arial"/>
          <w:b/>
          <w:bCs/>
          <w:color w:val="000000"/>
          <w:sz w:val="22"/>
          <w:szCs w:val="22"/>
        </w:rPr>
        <w:t xml:space="preserve">5.  Use Case Specifications</w:t>
      </w:r>
    </w:p>
    <w:p>
      <w:pPr>
        <w:spacing w:before="60" w:after="60"/>
      </w:pPr>
      <w:r>
        <w:t xml:space="preserve"/>
      </w:r>
    </w:p>
    <w:p>
      <w:pPr>
        <w:spacing w:before="200" w:after="60"/>
      </w:pPr>
      <w:r>
        <w:rPr>
          <w:rFonts w:ascii="Arial" w:cs="Arial" w:eastAsia="Arial" w:hAnsi="Arial"/>
          <w:b/>
          <w:bCs/>
          <w:color w:val="000000"/>
          <w:sz w:val="20"/>
          <w:szCs w:val="20"/>
        </w:rPr>
        <w:t xml:space="preserve">UC-01  |  Submit Loan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top"/>
          </w:tcPr>
          <w:p>
            <w:r>
              <w:rPr>
                <w:rFonts w:ascii="Arial" w:cs="Arial" w:eastAsia="Arial" w:hAnsi="Arial"/>
                <w:b/>
                <w:bCs/>
                <w:color w:val="000000"/>
                <w:sz w:val="18"/>
                <w:szCs w:val="18"/>
              </w:rPr>
              <w:t xml:space="preserve">Actor</w:t>
            </w:r>
          </w:p>
        </w:tc>
        <w:tc>
          <w:tcPr>
            <w:tcW w:type="dxa" w:w="7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11111"/>
                <w:sz w:val="18"/>
                <w:szCs w:val="18"/>
              </w:rPr>
              <w:t xml:space="preserve">Applicant (External)</w:t>
            </w:r>
          </w:p>
        </w:tc>
      </w:tr>
      <w:tr>
        <w:tc>
          <w:tcPr>
            <w:tcW w:type="dxa" w:w="1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top"/>
          </w:tcPr>
          <w:p>
            <w:r>
              <w:rPr>
                <w:rFonts w:ascii="Arial" w:cs="Arial" w:eastAsia="Arial" w:hAnsi="Arial"/>
                <w:b/>
                <w:bCs/>
                <w:color w:val="000000"/>
                <w:sz w:val="18"/>
                <w:szCs w:val="18"/>
              </w:rPr>
              <w:t xml:space="preserve">Preconditions</w:t>
            </w:r>
          </w:p>
        </w:tc>
        <w:tc>
          <w:tcPr>
            <w:tcW w:type="dxa" w:w="756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top"/>
          </w:tcPr>
          <w:p>
            <w:r>
              <w:rPr>
                <w:rFonts w:ascii="Arial" w:cs="Arial" w:eastAsia="Arial" w:hAnsi="Arial"/>
                <w:color w:val="111111"/>
                <w:sz w:val="18"/>
                <w:szCs w:val="18"/>
              </w:rPr>
              <w:t xml:space="preserve">Applicant has valid identification and all required financial and personal information ready for submission. The digital application portal or branch channel is available.</w:t>
            </w:r>
          </w:p>
        </w:tc>
      </w:tr>
      <w:tr>
        <w:tc>
          <w:tcPr>
            <w:tcW w:type="dxa" w:w="1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top"/>
          </w:tcPr>
          <w:p>
            <w:r>
              <w:rPr>
                <w:rFonts w:ascii="Arial" w:cs="Arial" w:eastAsia="Arial" w:hAnsi="Arial"/>
                <w:b/>
                <w:bCs/>
                <w:color w:val="000000"/>
                <w:sz w:val="18"/>
                <w:szCs w:val="18"/>
              </w:rPr>
              <w:t xml:space="preserve">Trigger</w:t>
            </w:r>
          </w:p>
        </w:tc>
        <w:tc>
          <w:tcPr>
            <w:tcW w:type="dxa" w:w="7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11111"/>
                <w:sz w:val="18"/>
                <w:szCs w:val="18"/>
              </w:rPr>
              <w:t xml:space="preserve">Applicant initiates a new loan application via the digital portal or at a branch.</w:t>
            </w:r>
          </w:p>
        </w:tc>
      </w:tr>
      <w:tr>
        <w:tc>
          <w:tcPr>
            <w:tcW w:type="dxa" w:w="1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top"/>
          </w:tcPr>
          <w:p>
            <w:r>
              <w:rPr>
                <w:rFonts w:ascii="Arial" w:cs="Arial" w:eastAsia="Arial" w:hAnsi="Arial"/>
                <w:b/>
                <w:bCs/>
                <w:color w:val="000000"/>
                <w:sz w:val="18"/>
                <w:szCs w:val="18"/>
              </w:rPr>
              <w:t xml:space="preserve">Main Flow</w:t>
            </w:r>
          </w:p>
        </w:tc>
        <w:tc>
          <w:tcPr>
            <w:tcW w:type="dxa" w:w="756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top"/>
          </w:tcPr>
          <w:p>
            <w:pPr>
              <w:spacing w:before="0" w:after="40"/>
            </w:pPr>
            <w:r>
              <w:rPr>
                <w:rFonts w:ascii="Arial" w:cs="Arial" w:eastAsia="Arial" w:hAnsi="Arial"/>
                <w:b/>
                <w:bCs/>
                <w:color w:val="000000"/>
                <w:sz w:val="18"/>
                <w:szCs w:val="18"/>
              </w:rPr>
              <w:t xml:space="preserve">1.  </w:t>
            </w:r>
            <w:r>
              <w:rPr>
                <w:rFonts w:ascii="Arial" w:cs="Arial" w:eastAsia="Arial" w:hAnsi="Arial"/>
                <w:color w:val="111111"/>
                <w:sz w:val="18"/>
                <w:szCs w:val="18"/>
              </w:rPr>
              <w:t xml:space="preserve">Applicant selects the loan type (personal, home, auto, education, or travel) and begins the application form.</w:t>
            </w:r>
          </w:p>
          <w:p>
            <w:pPr>
              <w:spacing w:before="40" w:after="40"/>
            </w:pPr>
            <w:r>
              <w:rPr>
                <w:rFonts w:ascii="Arial" w:cs="Arial" w:eastAsia="Arial" w:hAnsi="Arial"/>
                <w:b/>
                <w:bCs/>
                <w:color w:val="000000"/>
                <w:sz w:val="18"/>
                <w:szCs w:val="18"/>
              </w:rPr>
              <w:t xml:space="preserve">2.  </w:t>
            </w:r>
            <w:r>
              <w:rPr>
                <w:rFonts w:ascii="Arial" w:cs="Arial" w:eastAsia="Arial" w:hAnsi="Arial"/>
                <w:color w:val="111111"/>
                <w:sz w:val="18"/>
                <w:szCs w:val="18"/>
              </w:rPr>
              <w:t xml:space="preserve">Applicant fills in all required fields: personal details, financial information, employment details, and loan parameters.</w:t>
            </w:r>
          </w:p>
          <w:p>
            <w:pPr>
              <w:spacing w:before="40" w:after="40"/>
            </w:pPr>
            <w:r>
              <w:rPr>
                <w:rFonts w:ascii="Arial" w:cs="Arial" w:eastAsia="Arial" w:hAnsi="Arial"/>
                <w:b/>
                <w:bCs/>
                <w:color w:val="000000"/>
                <w:sz w:val="18"/>
                <w:szCs w:val="18"/>
              </w:rPr>
              <w:t xml:space="preserve">3.  </w:t>
            </w:r>
            <w:r>
              <w:rPr>
                <w:rFonts w:ascii="Arial" w:cs="Arial" w:eastAsia="Arial" w:hAnsi="Arial"/>
                <w:color w:val="111111"/>
                <w:sz w:val="18"/>
                <w:szCs w:val="18"/>
              </w:rPr>
              <w:t xml:space="preserve">System validates data format, type, and completeness for all 29 fields in real time as the form is submitted.</w:t>
            </w:r>
          </w:p>
          <w:p>
            <w:pPr>
              <w:spacing w:before="40" w:after="40"/>
            </w:pPr>
            <w:r>
              <w:rPr>
                <w:rFonts w:ascii="Arial" w:cs="Arial" w:eastAsia="Arial" w:hAnsi="Arial"/>
                <w:b/>
                <w:bCs/>
                <w:color w:val="000000"/>
                <w:sz w:val="18"/>
                <w:szCs w:val="18"/>
              </w:rPr>
              <w:t xml:space="preserve">4.  </w:t>
            </w:r>
            <w:r>
              <w:rPr>
                <w:rFonts w:ascii="Arial" w:cs="Arial" w:eastAsia="Arial" w:hAnsi="Arial"/>
                <w:color w:val="111111"/>
                <w:sz w:val="18"/>
                <w:szCs w:val="18"/>
              </w:rPr>
              <w:t xml:space="preserve">System confirms successful submission, assigns a unique Application ID, and displays a reference number to the applicant.</w:t>
            </w:r>
          </w:p>
          <w:p>
            <w:pPr>
              <w:spacing w:before="40" w:after="40"/>
            </w:pPr>
            <w:r>
              <w:rPr>
                <w:rFonts w:ascii="Arial" w:cs="Arial" w:eastAsia="Arial" w:hAnsi="Arial"/>
                <w:b/>
                <w:bCs/>
                <w:color w:val="000000"/>
                <w:sz w:val="18"/>
                <w:szCs w:val="18"/>
              </w:rPr>
              <w:t xml:space="preserve">5.  </w:t>
            </w:r>
            <w:r>
              <w:rPr>
                <w:rFonts w:ascii="Arial" w:cs="Arial" w:eastAsia="Arial" w:hAnsi="Arial"/>
                <w:color w:val="111111"/>
                <w:sz w:val="18"/>
                <w:szCs w:val="18"/>
              </w:rPr>
              <w:t xml:space="preserve">Application is timestamped and entered into the scoring pipeline queue (triggers UC-02 or UC-05).</w:t>
            </w:r>
          </w:p>
        </w:tc>
      </w:tr>
      <w:tr>
        <w:tc>
          <w:tcPr>
            <w:tcW w:type="dxa" w:w="1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top"/>
          </w:tcPr>
          <w:p>
            <w:r>
              <w:rPr>
                <w:rFonts w:ascii="Arial" w:cs="Arial" w:eastAsia="Arial" w:hAnsi="Arial"/>
                <w:b/>
                <w:bCs/>
                <w:color w:val="000000"/>
                <w:sz w:val="18"/>
                <w:szCs w:val="18"/>
              </w:rPr>
              <w:t xml:space="preserve">Alternative Flow</w:t>
            </w:r>
          </w:p>
        </w:tc>
        <w:tc>
          <w:tcPr>
            <w:tcW w:type="dxa" w:w="7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11111"/>
                <w:sz w:val="18"/>
                <w:szCs w:val="18"/>
              </w:rPr>
              <w:t xml:space="preserve">2a. Validation fails on one or more fields — System highlights the specific invalid or missing fields with descriptive error messages. Applicant corrects the fields and resubmits. Process returns to step 3.</w:t>
            </w:r>
          </w:p>
        </w:tc>
      </w:tr>
      <w:tr>
        <w:tc>
          <w:tcPr>
            <w:tcW w:type="dxa" w:w="1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top"/>
          </w:tcPr>
          <w:p>
            <w:r>
              <w:rPr>
                <w:rFonts w:ascii="Arial" w:cs="Arial" w:eastAsia="Arial" w:hAnsi="Arial"/>
                <w:b/>
                <w:bCs/>
                <w:color w:val="000000"/>
                <w:sz w:val="18"/>
                <w:szCs w:val="18"/>
              </w:rPr>
              <w:t xml:space="preserve">Exception Flow</w:t>
            </w:r>
          </w:p>
        </w:tc>
        <w:tc>
          <w:tcPr>
            <w:tcW w:type="dxa" w:w="756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top"/>
          </w:tcPr>
          <w:p>
            <w:r>
              <w:rPr>
                <w:rFonts w:ascii="Arial" w:cs="Arial" w:eastAsia="Arial" w:hAnsi="Arial"/>
                <w:color w:val="111111"/>
                <w:sz w:val="18"/>
                <w:szCs w:val="18"/>
              </w:rPr>
              <w:t xml:space="preserve">3a. System unavailable — Application submission fails; applicant is shown an error message with a retry option. No partial record is created.</w:t>
            </w:r>
          </w:p>
        </w:tc>
      </w:tr>
      <w:tr>
        <w:tc>
          <w:tcPr>
            <w:tcW w:type="dxa" w:w="1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top"/>
          </w:tcPr>
          <w:p>
            <w:r>
              <w:rPr>
                <w:rFonts w:ascii="Arial" w:cs="Arial" w:eastAsia="Arial" w:hAnsi="Arial"/>
                <w:b/>
                <w:bCs/>
                <w:color w:val="000000"/>
                <w:sz w:val="18"/>
                <w:szCs w:val="18"/>
              </w:rPr>
              <w:t xml:space="preserve">Postcondition</w:t>
            </w:r>
          </w:p>
        </w:tc>
        <w:tc>
          <w:tcPr>
            <w:tcW w:type="dxa" w:w="7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11111"/>
                <w:sz w:val="18"/>
                <w:szCs w:val="18"/>
              </w:rPr>
              <w:t xml:space="preserve">Application is in the scoring pipeline queue with a unique Application ID and timestamp. Applicant has received a reference number confirming successful submission.</w:t>
            </w:r>
          </w:p>
        </w:tc>
      </w:tr>
      <w:tr>
        <w:tc>
          <w:tcPr>
            <w:tcW w:type="dxa" w:w="1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top"/>
          </w:tcPr>
          <w:p>
            <w:r>
              <w:rPr>
                <w:rFonts w:ascii="Arial" w:cs="Arial" w:eastAsia="Arial" w:hAnsi="Arial"/>
                <w:b/>
                <w:bCs/>
                <w:color w:val="000000"/>
                <w:sz w:val="18"/>
                <w:szCs w:val="18"/>
              </w:rPr>
              <w:t xml:space="preserve">Related FRD</w:t>
            </w:r>
          </w:p>
        </w:tc>
        <w:tc>
          <w:tcPr>
            <w:tcW w:type="dxa" w:w="756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top"/>
          </w:tcPr>
          <w:p>
            <w:r>
              <w:rPr>
                <w:rFonts w:ascii="Arial" w:cs="Arial" w:eastAsia="Arial" w:hAnsi="Arial"/>
                <w:color w:val="111111"/>
                <w:sz w:val="18"/>
                <w:szCs w:val="18"/>
              </w:rPr>
              <w:t xml:space="preserve">FR-01 (data ingestion), FR-02 (field validation), FR-11 (PII stripping)</w:t>
            </w:r>
          </w:p>
        </w:tc>
      </w:tr>
    </w:tbl>
    <w:p>
      <w:pPr>
        <w:spacing w:before="60" w:after="60"/>
      </w:pPr>
      <w:r>
        <w:t xml:space="preserve"/>
      </w:r>
    </w:p>
    <w:p>
      <w:pPr>
        <w:spacing w:before="200" w:after="60"/>
      </w:pPr>
      <w:r>
        <w:rPr>
          <w:rFonts w:ascii="Arial" w:cs="Arial" w:eastAsia="Arial" w:hAnsi="Arial"/>
          <w:b/>
          <w:bCs/>
          <w:color w:val="000000"/>
          <w:sz w:val="20"/>
          <w:szCs w:val="20"/>
        </w:rPr>
        <w:t xml:space="preserve">UC-02  |  Score Application for Fraud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top"/>
          </w:tcPr>
          <w:p>
            <w:r>
              <w:rPr>
                <w:rFonts w:ascii="Arial" w:cs="Arial" w:eastAsia="Arial" w:hAnsi="Arial"/>
                <w:b/>
                <w:bCs/>
                <w:color w:val="000000"/>
                <w:sz w:val="18"/>
                <w:szCs w:val="18"/>
              </w:rPr>
              <w:t xml:space="preserve">Actor</w:t>
            </w:r>
          </w:p>
        </w:tc>
        <w:tc>
          <w:tcPr>
            <w:tcW w:type="dxa" w:w="7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11111"/>
                <w:sz w:val="18"/>
                <w:szCs w:val="18"/>
              </w:rPr>
              <w:t xml:space="preserve">Fraud Detection System (Automated)</w:t>
            </w:r>
          </w:p>
        </w:tc>
      </w:tr>
      <w:tr>
        <w:tc>
          <w:tcPr>
            <w:tcW w:type="dxa" w:w="1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top"/>
          </w:tcPr>
          <w:p>
            <w:r>
              <w:rPr>
                <w:rFonts w:ascii="Arial" w:cs="Arial" w:eastAsia="Arial" w:hAnsi="Arial"/>
                <w:b/>
                <w:bCs/>
                <w:color w:val="000000"/>
                <w:sz w:val="18"/>
                <w:szCs w:val="18"/>
              </w:rPr>
              <w:t xml:space="preserve">Preconditions</w:t>
            </w:r>
          </w:p>
        </w:tc>
        <w:tc>
          <w:tcPr>
            <w:tcW w:type="dxa" w:w="756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top"/>
          </w:tcPr>
          <w:p>
            <w:r>
              <w:rPr>
                <w:rFonts w:ascii="Arial" w:cs="Arial" w:eastAsia="Arial" w:hAnsi="Arial"/>
                <w:color w:val="111111"/>
                <w:sz w:val="18"/>
                <w:szCs w:val="18"/>
              </w:rPr>
              <w:t xml:space="preserve">Application has passed all field validation checks in UC-01. Blacklist check (UC-05) has been passed — Blacklists field is No. Model service is available and loaded with the current production model version.</w:t>
            </w:r>
          </w:p>
        </w:tc>
      </w:tr>
      <w:tr>
        <w:tc>
          <w:tcPr>
            <w:tcW w:type="dxa" w:w="1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top"/>
          </w:tcPr>
          <w:p>
            <w:r>
              <w:rPr>
                <w:rFonts w:ascii="Arial" w:cs="Arial" w:eastAsia="Arial" w:hAnsi="Arial"/>
                <w:b/>
                <w:bCs/>
                <w:color w:val="000000"/>
                <w:sz w:val="18"/>
                <w:szCs w:val="18"/>
              </w:rPr>
              <w:t xml:space="preserve">Trigger</w:t>
            </w:r>
          </w:p>
        </w:tc>
        <w:tc>
          <w:tcPr>
            <w:tcW w:type="dxa" w:w="7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11111"/>
                <w:sz w:val="18"/>
                <w:szCs w:val="18"/>
              </w:rPr>
              <w:t xml:space="preserve">A validated, non-blacklisted application enters the scoring pipeline.</w:t>
            </w:r>
          </w:p>
        </w:tc>
      </w:tr>
      <w:tr>
        <w:tc>
          <w:tcPr>
            <w:tcW w:type="dxa" w:w="1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top"/>
          </w:tcPr>
          <w:p>
            <w:r>
              <w:rPr>
                <w:rFonts w:ascii="Arial" w:cs="Arial" w:eastAsia="Arial" w:hAnsi="Arial"/>
                <w:b/>
                <w:bCs/>
                <w:color w:val="000000"/>
                <w:sz w:val="18"/>
                <w:szCs w:val="18"/>
              </w:rPr>
              <w:t xml:space="preserve">Main Flow</w:t>
            </w:r>
          </w:p>
        </w:tc>
        <w:tc>
          <w:tcPr>
            <w:tcW w:type="dxa" w:w="756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top"/>
          </w:tcPr>
          <w:p>
            <w:pPr>
              <w:spacing w:before="0" w:after="40"/>
            </w:pPr>
            <w:r>
              <w:rPr>
                <w:rFonts w:ascii="Arial" w:cs="Arial" w:eastAsia="Arial" w:hAnsi="Arial"/>
                <w:b/>
                <w:bCs/>
                <w:color w:val="000000"/>
                <w:sz w:val="18"/>
                <w:szCs w:val="18"/>
              </w:rPr>
              <w:t xml:space="preserve">1.  </w:t>
            </w:r>
            <w:r>
              <w:rPr>
                <w:rFonts w:ascii="Arial" w:cs="Arial" w:eastAsia="Arial" w:hAnsi="Arial"/>
                <w:color w:val="111111"/>
                <w:sz w:val="18"/>
                <w:szCs w:val="18"/>
              </w:rPr>
              <w:t xml:space="preserve">System extracts all 28 feature fields from the validated application record (IsFraud is excluded at inference time).</w:t>
            </w:r>
          </w:p>
          <w:p>
            <w:pPr>
              <w:spacing w:before="40" w:after="40"/>
            </w:pPr>
            <w:r>
              <w:rPr>
                <w:rFonts w:ascii="Arial" w:cs="Arial" w:eastAsia="Arial" w:hAnsi="Arial"/>
                <w:b/>
                <w:bCs/>
                <w:color w:val="000000"/>
                <w:sz w:val="18"/>
                <w:szCs w:val="18"/>
              </w:rPr>
              <w:t xml:space="preserve">2.  </w:t>
            </w:r>
            <w:r>
              <w:rPr>
                <w:rFonts w:ascii="Arial" w:cs="Arial" w:eastAsia="Arial" w:hAnsi="Arial"/>
                <w:color w:val="111111"/>
                <w:sz w:val="18"/>
                <w:szCs w:val="18"/>
              </w:rPr>
              <w:t xml:space="preserve">System strips any PII fields if present in the payload before the feature vector is assembled.</w:t>
            </w:r>
          </w:p>
          <w:p>
            <w:pPr>
              <w:spacing w:before="40" w:after="40"/>
            </w:pPr>
            <w:r>
              <w:rPr>
                <w:rFonts w:ascii="Arial" w:cs="Arial" w:eastAsia="Arial" w:hAnsi="Arial"/>
                <w:b/>
                <w:bCs/>
                <w:color w:val="000000"/>
                <w:sz w:val="18"/>
                <w:szCs w:val="18"/>
              </w:rPr>
              <w:t xml:space="preserve">3.  </w:t>
            </w:r>
            <w:r>
              <w:rPr>
                <w:rFonts w:ascii="Arial" w:cs="Arial" w:eastAsia="Arial" w:hAnsi="Arial"/>
                <w:color w:val="111111"/>
                <w:sz w:val="18"/>
                <w:szCs w:val="18"/>
              </w:rPr>
              <w:t xml:space="preserve">System applies the preprocessing pipeline: categorical encoding, derived feature calculation (LoanToIncomeRatio, HourOfApplication, IsRapidAndUnusual, DebtToIncomeRatio, etc.), and feature vector assembly.</w:t>
            </w:r>
          </w:p>
          <w:p>
            <w:pPr>
              <w:spacing w:before="40" w:after="40"/>
            </w:pPr>
            <w:r>
              <w:rPr>
                <w:rFonts w:ascii="Arial" w:cs="Arial" w:eastAsia="Arial" w:hAnsi="Arial"/>
                <w:b/>
                <w:bCs/>
                <w:color w:val="000000"/>
                <w:sz w:val="18"/>
                <w:szCs w:val="18"/>
              </w:rPr>
              <w:t xml:space="preserve">4.  </w:t>
            </w:r>
            <w:r>
              <w:rPr>
                <w:rFonts w:ascii="Arial" w:cs="Arial" w:eastAsia="Arial" w:hAnsi="Arial"/>
                <w:color w:val="111111"/>
                <w:sz w:val="18"/>
                <w:szCs w:val="18"/>
              </w:rPr>
              <w:t xml:space="preserve">Trained ML model scores the feature vector and returns a fraud probability between 0.00 and 1.00.</w:t>
            </w:r>
          </w:p>
          <w:p>
            <w:pPr>
              <w:spacing w:before="40" w:after="40"/>
            </w:pPr>
            <w:r>
              <w:rPr>
                <w:rFonts w:ascii="Arial" w:cs="Arial" w:eastAsia="Arial" w:hAnsi="Arial"/>
                <w:b/>
                <w:bCs/>
                <w:color w:val="000000"/>
                <w:sz w:val="18"/>
                <w:szCs w:val="18"/>
              </w:rPr>
              <w:t xml:space="preserve">5.  </w:t>
            </w:r>
            <w:r>
              <w:rPr>
                <w:rFonts w:ascii="Arial" w:cs="Arial" w:eastAsia="Arial" w:hAnsi="Arial"/>
                <w:color w:val="111111"/>
                <w:sz w:val="18"/>
                <w:szCs w:val="18"/>
              </w:rPr>
              <w:t xml:space="preserve">System converts probability to a 0–100 risk score and applies threshold logic: score 0–40 = Low (auto-proceed), score 41–74 = Medium (soft flag), score 75–100 = High (hard flag, manual review queue).</w:t>
            </w:r>
          </w:p>
          <w:p>
            <w:pPr>
              <w:spacing w:before="40" w:after="40"/>
            </w:pPr>
            <w:r>
              <w:rPr>
                <w:rFonts w:ascii="Arial" w:cs="Arial" w:eastAsia="Arial" w:hAnsi="Arial"/>
                <w:b/>
                <w:bCs/>
                <w:color w:val="000000"/>
                <w:sz w:val="18"/>
                <w:szCs w:val="18"/>
              </w:rPr>
              <w:t xml:space="preserve">6.  </w:t>
            </w:r>
            <w:r>
              <w:rPr>
                <w:rFonts w:ascii="Arial" w:cs="Arial" w:eastAsia="Arial" w:hAnsi="Arial"/>
                <w:color w:val="111111"/>
                <w:sz w:val="18"/>
                <w:szCs w:val="18"/>
              </w:rPr>
              <w:t xml:space="preserve">For Medium and High-risk applications, system generates SHAP explanation listing top 5 contributing features and their direction of influence.</w:t>
            </w:r>
          </w:p>
          <w:p>
            <w:pPr>
              <w:spacing w:before="40" w:after="40"/>
            </w:pPr>
            <w:r>
              <w:rPr>
                <w:rFonts w:ascii="Arial" w:cs="Arial" w:eastAsia="Arial" w:hAnsi="Arial"/>
                <w:b/>
                <w:bCs/>
                <w:color w:val="000000"/>
                <w:sz w:val="18"/>
                <w:szCs w:val="18"/>
              </w:rPr>
              <w:t xml:space="preserve">7.  </w:t>
            </w:r>
            <w:r>
              <w:rPr>
                <w:rFonts w:ascii="Arial" w:cs="Arial" w:eastAsia="Arial" w:hAnsi="Arial"/>
                <w:color w:val="111111"/>
                <w:sz w:val="18"/>
                <w:szCs w:val="18"/>
              </w:rPr>
              <w:t xml:space="preserve">System writes audit log entry via UC-06: Application ID, timestamp, all input features, fraud probability, risk score, decision label, and SHAP output.</w:t>
            </w:r>
          </w:p>
          <w:p>
            <w:pPr>
              <w:spacing w:before="40" w:after="40"/>
            </w:pPr>
            <w:r>
              <w:rPr>
                <w:rFonts w:ascii="Arial" w:cs="Arial" w:eastAsia="Arial" w:hAnsi="Arial"/>
                <w:b/>
                <w:bCs/>
                <w:color w:val="000000"/>
                <w:sz w:val="18"/>
                <w:szCs w:val="18"/>
              </w:rPr>
              <w:t xml:space="preserve">8.  </w:t>
            </w:r>
            <w:r>
              <w:rPr>
                <w:rFonts w:ascii="Arial" w:cs="Arial" w:eastAsia="Arial" w:hAnsi="Arial"/>
                <w:color w:val="111111"/>
                <w:sz w:val="18"/>
                <w:szCs w:val="18"/>
              </w:rPr>
              <w:t xml:space="preserve">System returns score, decision label, and SHAP output to the Loan Origination System via the API response.</w:t>
            </w:r>
          </w:p>
        </w:tc>
      </w:tr>
      <w:tr>
        <w:tc>
          <w:tcPr>
            <w:tcW w:type="dxa" w:w="1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top"/>
          </w:tcPr>
          <w:p>
            <w:r>
              <w:rPr>
                <w:rFonts w:ascii="Arial" w:cs="Arial" w:eastAsia="Arial" w:hAnsi="Arial"/>
                <w:b/>
                <w:bCs/>
                <w:color w:val="000000"/>
                <w:sz w:val="18"/>
                <w:szCs w:val="18"/>
              </w:rPr>
              <w:t xml:space="preserve">Alternative Flow</w:t>
            </w:r>
          </w:p>
        </w:tc>
        <w:tc>
          <w:tcPr>
            <w:tcW w:type="dxa" w:w="7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11111"/>
                <w:sz w:val="18"/>
                <w:szCs w:val="18"/>
              </w:rPr>
              <w:t xml:space="preserve">5a. Score is exactly 75 — treated as High risk; application is hard-flagged and routed to the manual review queue. There is no ambiguity at the boundary.</w:t>
            </w:r>
          </w:p>
        </w:tc>
      </w:tr>
      <w:tr>
        <w:tc>
          <w:tcPr>
            <w:tcW w:type="dxa" w:w="1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top"/>
          </w:tcPr>
          <w:p>
            <w:r>
              <w:rPr>
                <w:rFonts w:ascii="Arial" w:cs="Arial" w:eastAsia="Arial" w:hAnsi="Arial"/>
                <w:b/>
                <w:bCs/>
                <w:color w:val="000000"/>
                <w:sz w:val="18"/>
                <w:szCs w:val="18"/>
              </w:rPr>
              <w:t xml:space="preserve">Exception Flow</w:t>
            </w:r>
          </w:p>
        </w:tc>
        <w:tc>
          <w:tcPr>
            <w:tcW w:type="dxa" w:w="756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top"/>
          </w:tcPr>
          <w:p>
            <w:r>
              <w:rPr>
                <w:rFonts w:ascii="Arial" w:cs="Arial" w:eastAsia="Arial" w:hAnsi="Arial"/>
                <w:color w:val="111111"/>
                <w:sz w:val="18"/>
                <w:szCs w:val="18"/>
              </w:rPr>
              <w:t xml:space="preserve">4a. Model service unavailable — application is immediately routed to the manual review queue; IT alert is triggered; the system never auto-approves on a service failure. Event is logged via UC-06 with an exception label.</w:t>
            </w:r>
          </w:p>
        </w:tc>
      </w:tr>
      <w:tr>
        <w:tc>
          <w:tcPr>
            <w:tcW w:type="dxa" w:w="1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top"/>
          </w:tcPr>
          <w:p>
            <w:r>
              <w:rPr>
                <w:rFonts w:ascii="Arial" w:cs="Arial" w:eastAsia="Arial" w:hAnsi="Arial"/>
                <w:b/>
                <w:bCs/>
                <w:color w:val="000000"/>
                <w:sz w:val="18"/>
                <w:szCs w:val="18"/>
              </w:rPr>
              <w:t xml:space="preserve">Postcondition</w:t>
            </w:r>
          </w:p>
        </w:tc>
        <w:tc>
          <w:tcPr>
            <w:tcW w:type="dxa" w:w="7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11111"/>
                <w:sz w:val="18"/>
                <w:szCs w:val="18"/>
              </w:rPr>
              <w:t xml:space="preserve">Application has a fraud risk score, decision label, and (for Medium and High) a SHAP explanation attached. It has been routed to the correct next step: auto-proceed, loan officer notification, or manual review queue. Audit log entry exists.</w:t>
            </w:r>
          </w:p>
        </w:tc>
      </w:tr>
      <w:tr>
        <w:tc>
          <w:tcPr>
            <w:tcW w:type="dxa" w:w="1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top"/>
          </w:tcPr>
          <w:p>
            <w:r>
              <w:rPr>
                <w:rFonts w:ascii="Arial" w:cs="Arial" w:eastAsia="Arial" w:hAnsi="Arial"/>
                <w:b/>
                <w:bCs/>
                <w:color w:val="000000"/>
                <w:sz w:val="18"/>
                <w:szCs w:val="18"/>
              </w:rPr>
              <w:t xml:space="preserve">Related FRD</w:t>
            </w:r>
          </w:p>
        </w:tc>
        <w:tc>
          <w:tcPr>
            <w:tcW w:type="dxa" w:w="756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top"/>
          </w:tcPr>
          <w:p>
            <w:r>
              <w:rPr>
                <w:rFonts w:ascii="Arial" w:cs="Arial" w:eastAsia="Arial" w:hAnsi="Arial"/>
                <w:color w:val="111111"/>
                <w:sz w:val="18"/>
                <w:szCs w:val="18"/>
              </w:rPr>
              <w:t xml:space="preserve">FR-03 (preprocessing), FR-04 (scoring), FR-05 (threshold), FR-07 (flagging), FR-08 (SHAP), FR-09 (audit log), FR-10 (response time), FR-11 (PII)</w:t>
            </w:r>
          </w:p>
        </w:tc>
      </w:tr>
    </w:tbl>
    <w:p>
      <w:pPr>
        <w:spacing w:before="60" w:after="60"/>
      </w:pPr>
      <w:r>
        <w:t xml:space="preserve"/>
      </w:r>
    </w:p>
    <w:p>
      <w:pPr>
        <w:spacing w:before="200" w:after="60"/>
      </w:pPr>
      <w:r>
        <w:rPr>
          <w:rFonts w:ascii="Arial" w:cs="Arial" w:eastAsia="Arial" w:hAnsi="Arial"/>
          <w:b/>
          <w:bCs/>
          <w:color w:val="000000"/>
          <w:sz w:val="20"/>
          <w:szCs w:val="20"/>
        </w:rPr>
        <w:t xml:space="preserve">UC-03  |  Review Flagged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top"/>
          </w:tcPr>
          <w:p>
            <w:r>
              <w:rPr>
                <w:rFonts w:ascii="Arial" w:cs="Arial" w:eastAsia="Arial" w:hAnsi="Arial"/>
                <w:b/>
                <w:bCs/>
                <w:color w:val="000000"/>
                <w:sz w:val="18"/>
                <w:szCs w:val="18"/>
              </w:rPr>
              <w:t xml:space="preserve">Actor</w:t>
            </w:r>
          </w:p>
        </w:tc>
        <w:tc>
          <w:tcPr>
            <w:tcW w:type="dxa" w:w="7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11111"/>
                <w:sz w:val="18"/>
                <w:szCs w:val="18"/>
              </w:rPr>
              <w:t xml:space="preserve">Risk Analyst (Internal)</w:t>
            </w:r>
          </w:p>
        </w:tc>
      </w:tr>
      <w:tr>
        <w:tc>
          <w:tcPr>
            <w:tcW w:type="dxa" w:w="1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top"/>
          </w:tcPr>
          <w:p>
            <w:r>
              <w:rPr>
                <w:rFonts w:ascii="Arial" w:cs="Arial" w:eastAsia="Arial" w:hAnsi="Arial"/>
                <w:b/>
                <w:bCs/>
                <w:color w:val="000000"/>
                <w:sz w:val="18"/>
                <w:szCs w:val="18"/>
              </w:rPr>
              <w:t xml:space="preserve">Preconditions</w:t>
            </w:r>
          </w:p>
        </w:tc>
        <w:tc>
          <w:tcPr>
            <w:tcW w:type="dxa" w:w="756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top"/>
          </w:tcPr>
          <w:p>
            <w:r>
              <w:rPr>
                <w:rFonts w:ascii="Arial" w:cs="Arial" w:eastAsia="Arial" w:hAnsi="Arial"/>
                <w:color w:val="111111"/>
                <w:sz w:val="18"/>
                <w:szCs w:val="18"/>
              </w:rPr>
              <w:t xml:space="preserve">Application has been hard-flagged by UC-02 with a risk score &gt;= 75 and is visible in the manual review queue. Risk Analyst is authenticated with the appropriate system role.</w:t>
            </w:r>
          </w:p>
        </w:tc>
      </w:tr>
      <w:tr>
        <w:tc>
          <w:tcPr>
            <w:tcW w:type="dxa" w:w="1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top"/>
          </w:tcPr>
          <w:p>
            <w:r>
              <w:rPr>
                <w:rFonts w:ascii="Arial" w:cs="Arial" w:eastAsia="Arial" w:hAnsi="Arial"/>
                <w:b/>
                <w:bCs/>
                <w:color w:val="000000"/>
                <w:sz w:val="18"/>
                <w:szCs w:val="18"/>
              </w:rPr>
              <w:t xml:space="preserve">Trigger</w:t>
            </w:r>
          </w:p>
        </w:tc>
        <w:tc>
          <w:tcPr>
            <w:tcW w:type="dxa" w:w="7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11111"/>
                <w:sz w:val="18"/>
                <w:szCs w:val="18"/>
              </w:rPr>
              <w:t xml:space="preserve">Application appears in the manual review queue; Risk Analyst opens the case.</w:t>
            </w:r>
          </w:p>
        </w:tc>
      </w:tr>
      <w:tr>
        <w:tc>
          <w:tcPr>
            <w:tcW w:type="dxa" w:w="1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top"/>
          </w:tcPr>
          <w:p>
            <w:r>
              <w:rPr>
                <w:rFonts w:ascii="Arial" w:cs="Arial" w:eastAsia="Arial" w:hAnsi="Arial"/>
                <w:b/>
                <w:bCs/>
                <w:color w:val="000000"/>
                <w:sz w:val="18"/>
                <w:szCs w:val="18"/>
              </w:rPr>
              <w:t xml:space="preserve">Main Flow</w:t>
            </w:r>
          </w:p>
        </w:tc>
        <w:tc>
          <w:tcPr>
            <w:tcW w:type="dxa" w:w="756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top"/>
          </w:tcPr>
          <w:p>
            <w:pPr>
              <w:spacing w:before="0" w:after="40"/>
            </w:pPr>
            <w:r>
              <w:rPr>
                <w:rFonts w:ascii="Arial" w:cs="Arial" w:eastAsia="Arial" w:hAnsi="Arial"/>
                <w:b/>
                <w:bCs/>
                <w:color w:val="000000"/>
                <w:sz w:val="18"/>
                <w:szCs w:val="18"/>
              </w:rPr>
              <w:t xml:space="preserve">1.  </w:t>
            </w:r>
            <w:r>
              <w:rPr>
                <w:rFonts w:ascii="Arial" w:cs="Arial" w:eastAsia="Arial" w:hAnsi="Arial"/>
                <w:color w:val="111111"/>
                <w:sz w:val="18"/>
                <w:szCs w:val="18"/>
              </w:rPr>
              <w:t xml:space="preserve">Risk Analyst opens the manual review queue and selects the flagged application.</w:t>
            </w:r>
          </w:p>
          <w:p>
            <w:pPr>
              <w:spacing w:before="40" w:after="40"/>
            </w:pPr>
            <w:r>
              <w:rPr>
                <w:rFonts w:ascii="Arial" w:cs="Arial" w:eastAsia="Arial" w:hAnsi="Arial"/>
                <w:b/>
                <w:bCs/>
                <w:color w:val="000000"/>
                <w:sz w:val="18"/>
                <w:szCs w:val="18"/>
              </w:rPr>
              <w:t xml:space="preserve">2.  </w:t>
            </w:r>
            <w:r>
              <w:rPr>
                <w:rFonts w:ascii="Arial" w:cs="Arial" w:eastAsia="Arial" w:hAnsi="Arial"/>
                <w:color w:val="111111"/>
                <w:sz w:val="18"/>
                <w:szCs w:val="18"/>
              </w:rPr>
              <w:t xml:space="preserve">System displays the full review package: fraud risk score (0–100), SHAP explanation with top 5 contributing features, applicant history summary, and any prior loan records.</w:t>
            </w:r>
          </w:p>
          <w:p>
            <w:pPr>
              <w:spacing w:before="40" w:after="40"/>
            </w:pPr>
            <w:r>
              <w:rPr>
                <w:rFonts w:ascii="Arial" w:cs="Arial" w:eastAsia="Arial" w:hAnsi="Arial"/>
                <w:b/>
                <w:bCs/>
                <w:color w:val="000000"/>
                <w:sz w:val="18"/>
                <w:szCs w:val="18"/>
              </w:rPr>
              <w:t xml:space="preserve">3.  </w:t>
            </w:r>
            <w:r>
              <w:rPr>
                <w:rFonts w:ascii="Arial" w:cs="Arial" w:eastAsia="Arial" w:hAnsi="Arial"/>
                <w:color w:val="111111"/>
                <w:sz w:val="18"/>
                <w:szCs w:val="18"/>
              </w:rPr>
              <w:t xml:space="preserve">Risk Analyst examines the risk score, feature contributions, and supporting context to form a judgement.</w:t>
            </w:r>
          </w:p>
          <w:p>
            <w:pPr>
              <w:spacing w:before="40" w:after="40"/>
            </w:pPr>
            <w:r>
              <w:rPr>
                <w:rFonts w:ascii="Arial" w:cs="Arial" w:eastAsia="Arial" w:hAnsi="Arial"/>
                <w:b/>
                <w:bCs/>
                <w:color w:val="000000"/>
                <w:sz w:val="18"/>
                <w:szCs w:val="18"/>
              </w:rPr>
              <w:t xml:space="preserve">4.  </w:t>
            </w:r>
            <w:r>
              <w:rPr>
                <w:rFonts w:ascii="Arial" w:cs="Arial" w:eastAsia="Arial" w:hAnsi="Arial"/>
                <w:color w:val="111111"/>
                <w:sz w:val="18"/>
                <w:szCs w:val="18"/>
              </w:rPr>
              <w:t xml:space="preserve">Risk Analyst selects one of three decisions: Approve, Reject, or Refer to Compliance.</w:t>
            </w:r>
          </w:p>
          <w:p>
            <w:pPr>
              <w:spacing w:before="40" w:after="40"/>
            </w:pPr>
            <w:r>
              <w:rPr>
                <w:rFonts w:ascii="Arial" w:cs="Arial" w:eastAsia="Arial" w:hAnsi="Arial"/>
                <w:b/>
                <w:bCs/>
                <w:color w:val="000000"/>
                <w:sz w:val="18"/>
                <w:szCs w:val="18"/>
              </w:rPr>
              <w:t xml:space="preserve">5.  </w:t>
            </w:r>
            <w:r>
              <w:rPr>
                <w:rFonts w:ascii="Arial" w:cs="Arial" w:eastAsia="Arial" w:hAnsi="Arial"/>
                <w:color w:val="111111"/>
                <w:sz w:val="18"/>
                <w:szCs w:val="18"/>
              </w:rPr>
              <w:t xml:space="preserve">If Approve or Reject: Risk Analyst enters a brief mandatory justification note.</w:t>
            </w:r>
          </w:p>
          <w:p>
            <w:pPr>
              <w:spacing w:before="40" w:after="40"/>
            </w:pPr>
            <w:r>
              <w:rPr>
                <w:rFonts w:ascii="Arial" w:cs="Arial" w:eastAsia="Arial" w:hAnsi="Arial"/>
                <w:b/>
                <w:bCs/>
                <w:color w:val="000000"/>
                <w:sz w:val="18"/>
                <w:szCs w:val="18"/>
              </w:rPr>
              <w:t xml:space="preserve">6.  </w:t>
            </w:r>
            <w:r>
              <w:rPr>
                <w:rFonts w:ascii="Arial" w:cs="Arial" w:eastAsia="Arial" w:hAnsi="Arial"/>
                <w:color w:val="111111"/>
                <w:sz w:val="18"/>
                <w:szCs w:val="18"/>
              </w:rPr>
              <w:t xml:space="preserve">System records the analyst's ID, decision, justification note, and timestamp via UC-06.</w:t>
            </w:r>
          </w:p>
          <w:p>
            <w:pPr>
              <w:spacing w:before="40" w:after="40"/>
            </w:pPr>
            <w:r>
              <w:rPr>
                <w:rFonts w:ascii="Arial" w:cs="Arial" w:eastAsia="Arial" w:hAnsi="Arial"/>
                <w:b/>
                <w:bCs/>
                <w:color w:val="000000"/>
                <w:sz w:val="18"/>
                <w:szCs w:val="18"/>
              </w:rPr>
              <w:t xml:space="preserve">7.  </w:t>
            </w:r>
            <w:r>
              <w:rPr>
                <w:rFonts w:ascii="Arial" w:cs="Arial" w:eastAsia="Arial" w:hAnsi="Arial"/>
                <w:color w:val="111111"/>
                <w:sz w:val="18"/>
                <w:szCs w:val="18"/>
              </w:rPr>
              <w:t xml:space="preserve">Applicant is notified of the outcome (Approved or Rejected). If Referred, UC-04 is triggered.</w:t>
            </w:r>
          </w:p>
        </w:tc>
      </w:tr>
      <w:tr>
        <w:tc>
          <w:tcPr>
            <w:tcW w:type="dxa" w:w="1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top"/>
          </w:tcPr>
          <w:p>
            <w:r>
              <w:rPr>
                <w:rFonts w:ascii="Arial" w:cs="Arial" w:eastAsia="Arial" w:hAnsi="Arial"/>
                <w:b/>
                <w:bCs/>
                <w:color w:val="000000"/>
                <w:sz w:val="18"/>
                <w:szCs w:val="18"/>
              </w:rPr>
              <w:t xml:space="preserve">Alternative Flow</w:t>
            </w:r>
          </w:p>
        </w:tc>
        <w:tc>
          <w:tcPr>
            <w:tcW w:type="dxa" w:w="7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11111"/>
                <w:sz w:val="18"/>
                <w:szCs w:val="18"/>
              </w:rPr>
              <w:t xml:space="preserve">4a. Analyst selects Refer — UC-04 (Escalate to Compliance) is triggered. Application is moved out of the Risk Analyst queue and into the Compliance queue. Analyst's referral note is included in the compliance case.</w:t>
            </w:r>
          </w:p>
        </w:tc>
      </w:tr>
      <w:tr>
        <w:tc>
          <w:tcPr>
            <w:tcW w:type="dxa" w:w="1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top"/>
          </w:tcPr>
          <w:p>
            <w:r>
              <w:rPr>
                <w:rFonts w:ascii="Arial" w:cs="Arial" w:eastAsia="Arial" w:hAnsi="Arial"/>
                <w:b/>
                <w:bCs/>
                <w:color w:val="000000"/>
                <w:sz w:val="18"/>
                <w:szCs w:val="18"/>
              </w:rPr>
              <w:t xml:space="preserve">Exception Flow</w:t>
            </w:r>
          </w:p>
        </w:tc>
        <w:tc>
          <w:tcPr>
            <w:tcW w:type="dxa" w:w="756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top"/>
          </w:tcPr>
          <w:p>
            <w:r>
              <w:rPr>
                <w:rFonts w:ascii="Arial" w:cs="Arial" w:eastAsia="Arial" w:hAnsi="Arial"/>
                <w:color w:val="111111"/>
                <w:sz w:val="18"/>
                <w:szCs w:val="18"/>
              </w:rPr>
              <w:t xml:space="preserve">1a. Queue is empty — no action required. System displays an empty queue message.
2a. System fails to load SHAP explanation — analyst proceeds with score only; system logs a SHAP retrieval failure warning.</w:t>
            </w:r>
          </w:p>
        </w:tc>
      </w:tr>
      <w:tr>
        <w:tc>
          <w:tcPr>
            <w:tcW w:type="dxa" w:w="1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top"/>
          </w:tcPr>
          <w:p>
            <w:r>
              <w:rPr>
                <w:rFonts w:ascii="Arial" w:cs="Arial" w:eastAsia="Arial" w:hAnsi="Arial"/>
                <w:b/>
                <w:bCs/>
                <w:color w:val="000000"/>
                <w:sz w:val="18"/>
                <w:szCs w:val="18"/>
              </w:rPr>
              <w:t xml:space="preserve">Postcondition</w:t>
            </w:r>
          </w:p>
        </w:tc>
        <w:tc>
          <w:tcPr>
            <w:tcW w:type="dxa" w:w="7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11111"/>
                <w:sz w:val="18"/>
                <w:szCs w:val="18"/>
              </w:rPr>
              <w:t xml:space="preserve">Decision (Approve / Reject / Refer) is recorded with the analyst's ID, justification, and timestamp. If Approved or Rejected, applicant is notified. If Referred, UC-04 is in progress. Audit log entry exists.</w:t>
            </w:r>
          </w:p>
        </w:tc>
      </w:tr>
      <w:tr>
        <w:tc>
          <w:tcPr>
            <w:tcW w:type="dxa" w:w="1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top"/>
          </w:tcPr>
          <w:p>
            <w:r>
              <w:rPr>
                <w:rFonts w:ascii="Arial" w:cs="Arial" w:eastAsia="Arial" w:hAnsi="Arial"/>
                <w:b/>
                <w:bCs/>
                <w:color w:val="000000"/>
                <w:sz w:val="18"/>
                <w:szCs w:val="18"/>
              </w:rPr>
              <w:t xml:space="preserve">Related FRD</w:t>
            </w:r>
          </w:p>
        </w:tc>
        <w:tc>
          <w:tcPr>
            <w:tcW w:type="dxa" w:w="756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top"/>
          </w:tcPr>
          <w:p>
            <w:r>
              <w:rPr>
                <w:rFonts w:ascii="Arial" w:cs="Arial" w:eastAsia="Arial" w:hAnsi="Arial"/>
                <w:color w:val="111111"/>
                <w:sz w:val="18"/>
                <w:szCs w:val="18"/>
              </w:rPr>
              <w:t xml:space="preserve">FR-07 (manual review routing), FR-08 (SHAP display), FR-09 (audit log)</w:t>
            </w:r>
          </w:p>
        </w:tc>
      </w:tr>
    </w:tbl>
    <w:p>
      <w:pPr>
        <w:spacing w:before="60" w:after="60"/>
      </w:pPr>
      <w:r>
        <w:t xml:space="preserve"/>
      </w:r>
    </w:p>
    <w:p>
      <w:pPr>
        <w:spacing w:before="200" w:after="60"/>
      </w:pPr>
      <w:r>
        <w:rPr>
          <w:rFonts w:ascii="Arial" w:cs="Arial" w:eastAsia="Arial" w:hAnsi="Arial"/>
          <w:b/>
          <w:bCs/>
          <w:color w:val="000000"/>
          <w:sz w:val="20"/>
          <w:szCs w:val="20"/>
        </w:rPr>
        <w:t xml:space="preserve">UC-04  |  Escalate to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top"/>
          </w:tcPr>
          <w:p>
            <w:r>
              <w:rPr>
                <w:rFonts w:ascii="Arial" w:cs="Arial" w:eastAsia="Arial" w:hAnsi="Arial"/>
                <w:b/>
                <w:bCs/>
                <w:color w:val="000000"/>
                <w:sz w:val="18"/>
                <w:szCs w:val="18"/>
              </w:rPr>
              <w:t xml:space="preserve">Actor</w:t>
            </w:r>
          </w:p>
        </w:tc>
        <w:tc>
          <w:tcPr>
            <w:tcW w:type="dxa" w:w="7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11111"/>
                <w:sz w:val="18"/>
                <w:szCs w:val="18"/>
              </w:rPr>
              <w:t xml:space="preserve">Risk Analyst (initiating) / Compliance Officer (deciding)</w:t>
            </w:r>
          </w:p>
        </w:tc>
      </w:tr>
      <w:tr>
        <w:tc>
          <w:tcPr>
            <w:tcW w:type="dxa" w:w="1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top"/>
          </w:tcPr>
          <w:p>
            <w:r>
              <w:rPr>
                <w:rFonts w:ascii="Arial" w:cs="Arial" w:eastAsia="Arial" w:hAnsi="Arial"/>
                <w:b/>
                <w:bCs/>
                <w:color w:val="000000"/>
                <w:sz w:val="18"/>
                <w:szCs w:val="18"/>
              </w:rPr>
              <w:t xml:space="preserve">Preconditions</w:t>
            </w:r>
          </w:p>
        </w:tc>
        <w:tc>
          <w:tcPr>
            <w:tcW w:type="dxa" w:w="756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top"/>
          </w:tcPr>
          <w:p>
            <w:r>
              <w:rPr>
                <w:rFonts w:ascii="Arial" w:cs="Arial" w:eastAsia="Arial" w:hAnsi="Arial"/>
                <w:color w:val="111111"/>
                <w:sz w:val="18"/>
                <w:szCs w:val="18"/>
              </w:rPr>
              <w:t xml:space="preserve">Application has been referred by a Risk Analyst in UC-03. Compliance Officer is authenticated with the Compliance system role.</w:t>
            </w:r>
          </w:p>
        </w:tc>
      </w:tr>
      <w:tr>
        <w:tc>
          <w:tcPr>
            <w:tcW w:type="dxa" w:w="1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top"/>
          </w:tcPr>
          <w:p>
            <w:r>
              <w:rPr>
                <w:rFonts w:ascii="Arial" w:cs="Arial" w:eastAsia="Arial" w:hAnsi="Arial"/>
                <w:b/>
                <w:bCs/>
                <w:color w:val="000000"/>
                <w:sz w:val="18"/>
                <w:szCs w:val="18"/>
              </w:rPr>
              <w:t xml:space="preserve">Trigger</w:t>
            </w:r>
          </w:p>
        </w:tc>
        <w:tc>
          <w:tcPr>
            <w:tcW w:type="dxa" w:w="7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11111"/>
                <w:sz w:val="18"/>
                <w:szCs w:val="18"/>
              </w:rPr>
              <w:t xml:space="preserve">Risk Analyst selects Refer to Compliance in UC-03.</w:t>
            </w:r>
          </w:p>
        </w:tc>
      </w:tr>
      <w:tr>
        <w:tc>
          <w:tcPr>
            <w:tcW w:type="dxa" w:w="1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top"/>
          </w:tcPr>
          <w:p>
            <w:r>
              <w:rPr>
                <w:rFonts w:ascii="Arial" w:cs="Arial" w:eastAsia="Arial" w:hAnsi="Arial"/>
                <w:b/>
                <w:bCs/>
                <w:color w:val="000000"/>
                <w:sz w:val="18"/>
                <w:szCs w:val="18"/>
              </w:rPr>
              <w:t xml:space="preserve">Main Flow</w:t>
            </w:r>
          </w:p>
        </w:tc>
        <w:tc>
          <w:tcPr>
            <w:tcW w:type="dxa" w:w="756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top"/>
          </w:tcPr>
          <w:p>
            <w:pPr>
              <w:spacing w:before="0" w:after="40"/>
            </w:pPr>
            <w:r>
              <w:rPr>
                <w:rFonts w:ascii="Arial" w:cs="Arial" w:eastAsia="Arial" w:hAnsi="Arial"/>
                <w:b/>
                <w:bCs/>
                <w:color w:val="000000"/>
                <w:sz w:val="18"/>
                <w:szCs w:val="18"/>
              </w:rPr>
              <w:t xml:space="preserve">1.  </w:t>
            </w:r>
            <w:r>
              <w:rPr>
                <w:rFonts w:ascii="Arial" w:cs="Arial" w:eastAsia="Arial" w:hAnsi="Arial"/>
                <w:color w:val="111111"/>
                <w:sz w:val="18"/>
                <w:szCs w:val="18"/>
              </w:rPr>
              <w:t xml:space="preserve">Case is automatically routed from the Risk Analyst queue to the Compliance Officer queue with the analyst's referral note attached.</w:t>
            </w:r>
          </w:p>
          <w:p>
            <w:pPr>
              <w:spacing w:before="40" w:after="40"/>
            </w:pPr>
            <w:r>
              <w:rPr>
                <w:rFonts w:ascii="Arial" w:cs="Arial" w:eastAsia="Arial" w:hAnsi="Arial"/>
                <w:b/>
                <w:bCs/>
                <w:color w:val="000000"/>
                <w:sz w:val="18"/>
                <w:szCs w:val="18"/>
              </w:rPr>
              <w:t xml:space="preserve">2.  </w:t>
            </w:r>
            <w:r>
              <w:rPr>
                <w:rFonts w:ascii="Arial" w:cs="Arial" w:eastAsia="Arial" w:hAnsi="Arial"/>
                <w:color w:val="111111"/>
                <w:sz w:val="18"/>
                <w:szCs w:val="18"/>
              </w:rPr>
              <w:t xml:space="preserve">Compliance Officer opens the case and reviews the full case history: original application data, fraud risk score, SHAP explanation, applicant history, and the Risk Analyst's referral note and justification.</w:t>
            </w:r>
          </w:p>
          <w:p>
            <w:pPr>
              <w:spacing w:before="40" w:after="40"/>
            </w:pPr>
            <w:r>
              <w:rPr>
                <w:rFonts w:ascii="Arial" w:cs="Arial" w:eastAsia="Arial" w:hAnsi="Arial"/>
                <w:b/>
                <w:bCs/>
                <w:color w:val="000000"/>
                <w:sz w:val="18"/>
                <w:szCs w:val="18"/>
              </w:rPr>
              <w:t xml:space="preserve">3.  </w:t>
            </w:r>
            <w:r>
              <w:rPr>
                <w:rFonts w:ascii="Arial" w:cs="Arial" w:eastAsia="Arial" w:hAnsi="Arial"/>
                <w:color w:val="111111"/>
                <w:sz w:val="18"/>
                <w:szCs w:val="18"/>
              </w:rPr>
              <w:t xml:space="preserve">Compliance Officer makes a final binding decision: Approve or Reject.</w:t>
            </w:r>
          </w:p>
          <w:p>
            <w:pPr>
              <w:spacing w:before="40" w:after="40"/>
            </w:pPr>
            <w:r>
              <w:rPr>
                <w:rFonts w:ascii="Arial" w:cs="Arial" w:eastAsia="Arial" w:hAnsi="Arial"/>
                <w:b/>
                <w:bCs/>
                <w:color w:val="000000"/>
                <w:sz w:val="18"/>
                <w:szCs w:val="18"/>
              </w:rPr>
              <w:t xml:space="preserve">4.  </w:t>
            </w:r>
            <w:r>
              <w:rPr>
                <w:rFonts w:ascii="Arial" w:cs="Arial" w:eastAsia="Arial" w:hAnsi="Arial"/>
                <w:color w:val="111111"/>
                <w:sz w:val="18"/>
                <w:szCs w:val="18"/>
              </w:rPr>
              <w:t xml:space="preserve">System requires a mandatory justification field to be completed before the decision can be submitted.</w:t>
            </w:r>
          </w:p>
          <w:p>
            <w:pPr>
              <w:spacing w:before="40" w:after="40"/>
            </w:pPr>
            <w:r>
              <w:rPr>
                <w:rFonts w:ascii="Arial" w:cs="Arial" w:eastAsia="Arial" w:hAnsi="Arial"/>
                <w:b/>
                <w:bCs/>
                <w:color w:val="000000"/>
                <w:sz w:val="18"/>
                <w:szCs w:val="18"/>
              </w:rPr>
              <w:t xml:space="preserve">5.  </w:t>
            </w:r>
            <w:r>
              <w:rPr>
                <w:rFonts w:ascii="Arial" w:cs="Arial" w:eastAsia="Arial" w:hAnsi="Arial"/>
                <w:color w:val="111111"/>
                <w:sz w:val="18"/>
                <w:szCs w:val="18"/>
              </w:rPr>
              <w:t xml:space="preserve">Decision is recorded via UC-06 with the Compliance Officer's ID, decision, justification, and timestamp.</w:t>
            </w:r>
          </w:p>
          <w:p>
            <w:pPr>
              <w:spacing w:before="40" w:after="40"/>
            </w:pPr>
            <w:r>
              <w:rPr>
                <w:rFonts w:ascii="Arial" w:cs="Arial" w:eastAsia="Arial" w:hAnsi="Arial"/>
                <w:b/>
                <w:bCs/>
                <w:color w:val="000000"/>
                <w:sz w:val="18"/>
                <w:szCs w:val="18"/>
              </w:rPr>
              <w:t xml:space="preserve">6.  </w:t>
            </w:r>
            <w:r>
              <w:rPr>
                <w:rFonts w:ascii="Arial" w:cs="Arial" w:eastAsia="Arial" w:hAnsi="Arial"/>
                <w:color w:val="111111"/>
                <w:sz w:val="18"/>
                <w:szCs w:val="18"/>
              </w:rPr>
              <w:t xml:space="preserve">Applicant is notified of the final outcome.</w:t>
            </w:r>
          </w:p>
          <w:p>
            <w:pPr>
              <w:spacing w:before="40" w:after="40"/>
            </w:pPr>
            <w:r>
              <w:rPr>
                <w:rFonts w:ascii="Arial" w:cs="Arial" w:eastAsia="Arial" w:hAnsi="Arial"/>
                <w:b/>
                <w:bCs/>
                <w:color w:val="000000"/>
                <w:sz w:val="18"/>
                <w:szCs w:val="18"/>
              </w:rPr>
              <w:t xml:space="preserve">7.  </w:t>
            </w:r>
            <w:r>
              <w:rPr>
                <w:rFonts w:ascii="Arial" w:cs="Arial" w:eastAsia="Arial" w:hAnsi="Arial"/>
                <w:color w:val="111111"/>
                <w:sz w:val="18"/>
                <w:szCs w:val="18"/>
              </w:rPr>
              <w:t xml:space="preserve">Case is marked as closed in the system.</w:t>
            </w:r>
          </w:p>
        </w:tc>
      </w:tr>
      <w:tr>
        <w:tc>
          <w:tcPr>
            <w:tcW w:type="dxa" w:w="1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top"/>
          </w:tcPr>
          <w:p>
            <w:r>
              <w:rPr>
                <w:rFonts w:ascii="Arial" w:cs="Arial" w:eastAsia="Arial" w:hAnsi="Arial"/>
                <w:b/>
                <w:bCs/>
                <w:color w:val="000000"/>
                <w:sz w:val="18"/>
                <w:szCs w:val="18"/>
              </w:rPr>
              <w:t xml:space="preserve">Alternative Flow</w:t>
            </w:r>
          </w:p>
        </w:tc>
        <w:tc>
          <w:tcPr>
            <w:tcW w:type="dxa" w:w="7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11111"/>
                <w:sz w:val="18"/>
                <w:szCs w:val="18"/>
              </w:rPr>
              <w:t xml:space="preserve">3a. Compliance Officer requires additional information — Officer can place the case on hold and request supplementary documentation from the applicant or operations team. Case remains in Compliance queue.</w:t>
            </w:r>
          </w:p>
        </w:tc>
      </w:tr>
      <w:tr>
        <w:tc>
          <w:tcPr>
            <w:tcW w:type="dxa" w:w="1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top"/>
          </w:tcPr>
          <w:p>
            <w:r>
              <w:rPr>
                <w:rFonts w:ascii="Arial" w:cs="Arial" w:eastAsia="Arial" w:hAnsi="Arial"/>
                <w:b/>
                <w:bCs/>
                <w:color w:val="000000"/>
                <w:sz w:val="18"/>
                <w:szCs w:val="18"/>
              </w:rPr>
              <w:t xml:space="preserve">Exception Flow</w:t>
            </w:r>
          </w:p>
        </w:tc>
        <w:tc>
          <w:tcPr>
            <w:tcW w:type="dxa" w:w="756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top"/>
          </w:tcPr>
          <w:p>
            <w:r>
              <w:rPr>
                <w:rFonts w:ascii="Arial" w:cs="Arial" w:eastAsia="Arial" w:hAnsi="Arial"/>
                <w:color w:val="111111"/>
                <w:sz w:val="18"/>
                <w:szCs w:val="18"/>
              </w:rPr>
              <w:t xml:space="preserve">Compliance Officer is unavailable for more than one business day — SLA breach alert is triggered; their supervisor is notified to assume case responsibility.</w:t>
            </w:r>
          </w:p>
        </w:tc>
      </w:tr>
      <w:tr>
        <w:tc>
          <w:tcPr>
            <w:tcW w:type="dxa" w:w="1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top"/>
          </w:tcPr>
          <w:p>
            <w:r>
              <w:rPr>
                <w:rFonts w:ascii="Arial" w:cs="Arial" w:eastAsia="Arial" w:hAnsi="Arial"/>
                <w:b/>
                <w:bCs/>
                <w:color w:val="000000"/>
                <w:sz w:val="18"/>
                <w:szCs w:val="18"/>
              </w:rPr>
              <w:t xml:space="preserve">Postcondition</w:t>
            </w:r>
          </w:p>
        </w:tc>
        <w:tc>
          <w:tcPr>
            <w:tcW w:type="dxa" w:w="7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11111"/>
                <w:sz w:val="18"/>
                <w:szCs w:val="18"/>
              </w:rPr>
              <w:t xml:space="preserve">Final binding decision (Approve / Reject) is recorded with mandatory justification. Case is closed. Applicant is notified. Full audit trail exists from application submission through to final decision.</w:t>
            </w:r>
          </w:p>
        </w:tc>
      </w:tr>
      <w:tr>
        <w:tc>
          <w:tcPr>
            <w:tcW w:type="dxa" w:w="1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top"/>
          </w:tcPr>
          <w:p>
            <w:r>
              <w:rPr>
                <w:rFonts w:ascii="Arial" w:cs="Arial" w:eastAsia="Arial" w:hAnsi="Arial"/>
                <w:b/>
                <w:bCs/>
                <w:color w:val="000000"/>
                <w:sz w:val="18"/>
                <w:szCs w:val="18"/>
              </w:rPr>
              <w:t xml:space="preserve">Related FRD</w:t>
            </w:r>
          </w:p>
        </w:tc>
        <w:tc>
          <w:tcPr>
            <w:tcW w:type="dxa" w:w="756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top"/>
          </w:tcPr>
          <w:p>
            <w:r>
              <w:rPr>
                <w:rFonts w:ascii="Arial" w:cs="Arial" w:eastAsia="Arial" w:hAnsi="Arial"/>
                <w:color w:val="111111"/>
                <w:sz w:val="18"/>
                <w:szCs w:val="18"/>
              </w:rPr>
              <w:t xml:space="preserve">FR-09 (audit log), FDS-PF-001 Step 7</w:t>
            </w:r>
          </w:p>
        </w:tc>
      </w:tr>
    </w:tbl>
    <w:p>
      <w:pPr>
        <w:spacing w:before="60" w:after="60"/>
      </w:pPr>
      <w:r>
        <w:t xml:space="preserve"/>
      </w:r>
    </w:p>
    <w:p>
      <w:pPr>
        <w:spacing w:before="200" w:after="60"/>
      </w:pPr>
      <w:r>
        <w:rPr>
          <w:rFonts w:ascii="Arial" w:cs="Arial" w:eastAsia="Arial" w:hAnsi="Arial"/>
          <w:b/>
          <w:bCs/>
          <w:color w:val="000000"/>
          <w:sz w:val="20"/>
          <w:szCs w:val="20"/>
        </w:rPr>
        <w:t xml:space="preserve">UC-05  |  Auto-reject Blacklisted Applicant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top"/>
          </w:tcPr>
          <w:p>
            <w:r>
              <w:rPr>
                <w:rFonts w:ascii="Arial" w:cs="Arial" w:eastAsia="Arial" w:hAnsi="Arial"/>
                <w:b/>
                <w:bCs/>
                <w:color w:val="000000"/>
                <w:sz w:val="18"/>
                <w:szCs w:val="18"/>
              </w:rPr>
              <w:t xml:space="preserve">Actor</w:t>
            </w:r>
          </w:p>
        </w:tc>
        <w:tc>
          <w:tcPr>
            <w:tcW w:type="dxa" w:w="7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11111"/>
                <w:sz w:val="18"/>
                <w:szCs w:val="18"/>
              </w:rPr>
              <w:t xml:space="preserve">Fraud Detection System (Automated)</w:t>
            </w:r>
          </w:p>
        </w:tc>
      </w:tr>
      <w:tr>
        <w:tc>
          <w:tcPr>
            <w:tcW w:type="dxa" w:w="1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top"/>
          </w:tcPr>
          <w:p>
            <w:r>
              <w:rPr>
                <w:rFonts w:ascii="Arial" w:cs="Arial" w:eastAsia="Arial" w:hAnsi="Arial"/>
                <w:b/>
                <w:bCs/>
                <w:color w:val="000000"/>
                <w:sz w:val="18"/>
                <w:szCs w:val="18"/>
              </w:rPr>
              <w:t xml:space="preserve">Preconditions</w:t>
            </w:r>
          </w:p>
        </w:tc>
        <w:tc>
          <w:tcPr>
            <w:tcW w:type="dxa" w:w="756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top"/>
          </w:tcPr>
          <w:p>
            <w:r>
              <w:rPr>
                <w:rFonts w:ascii="Arial" w:cs="Arial" w:eastAsia="Arial" w:hAnsi="Arial"/>
                <w:color w:val="111111"/>
                <w:sz w:val="18"/>
                <w:szCs w:val="18"/>
              </w:rPr>
              <w:t xml:space="preserve">Application has passed field validation in UC-01. Model scoring (UC-02) has not yet begun.</w:t>
            </w:r>
          </w:p>
        </w:tc>
      </w:tr>
      <w:tr>
        <w:tc>
          <w:tcPr>
            <w:tcW w:type="dxa" w:w="1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top"/>
          </w:tcPr>
          <w:p>
            <w:r>
              <w:rPr>
                <w:rFonts w:ascii="Arial" w:cs="Arial" w:eastAsia="Arial" w:hAnsi="Arial"/>
                <w:b/>
                <w:bCs/>
                <w:color w:val="000000"/>
                <w:sz w:val="18"/>
                <w:szCs w:val="18"/>
              </w:rPr>
              <w:t xml:space="preserve">Trigger</w:t>
            </w:r>
          </w:p>
        </w:tc>
        <w:tc>
          <w:tcPr>
            <w:tcW w:type="dxa" w:w="7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11111"/>
                <w:sz w:val="18"/>
                <w:szCs w:val="18"/>
              </w:rPr>
              <w:t xml:space="preserve">Blacklists field = Yes is detected in the validated application record during the pre-score check.</w:t>
            </w:r>
          </w:p>
        </w:tc>
      </w:tr>
      <w:tr>
        <w:tc>
          <w:tcPr>
            <w:tcW w:type="dxa" w:w="1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top"/>
          </w:tcPr>
          <w:p>
            <w:r>
              <w:rPr>
                <w:rFonts w:ascii="Arial" w:cs="Arial" w:eastAsia="Arial" w:hAnsi="Arial"/>
                <w:b/>
                <w:bCs/>
                <w:color w:val="000000"/>
                <w:sz w:val="18"/>
                <w:szCs w:val="18"/>
              </w:rPr>
              <w:t xml:space="preserve">Main Flow</w:t>
            </w:r>
          </w:p>
        </w:tc>
        <w:tc>
          <w:tcPr>
            <w:tcW w:type="dxa" w:w="756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top"/>
          </w:tcPr>
          <w:p>
            <w:pPr>
              <w:spacing w:before="0" w:after="40"/>
            </w:pPr>
            <w:r>
              <w:rPr>
                <w:rFonts w:ascii="Arial" w:cs="Arial" w:eastAsia="Arial" w:hAnsi="Arial"/>
                <w:b/>
                <w:bCs/>
                <w:color w:val="000000"/>
                <w:sz w:val="18"/>
                <w:szCs w:val="18"/>
              </w:rPr>
              <w:t xml:space="preserve">1.  </w:t>
            </w:r>
            <w:r>
              <w:rPr>
                <w:rFonts w:ascii="Arial" w:cs="Arial" w:eastAsia="Arial" w:hAnsi="Arial"/>
                <w:color w:val="111111"/>
                <w:sz w:val="18"/>
                <w:szCs w:val="18"/>
              </w:rPr>
              <w:t xml:space="preserve">System detects Blacklists = Yes in the application record immediately after field validation.</w:t>
            </w:r>
          </w:p>
          <w:p>
            <w:pPr>
              <w:spacing w:before="40" w:after="40"/>
            </w:pPr>
            <w:r>
              <w:rPr>
                <w:rFonts w:ascii="Arial" w:cs="Arial" w:eastAsia="Arial" w:hAnsi="Arial"/>
                <w:b/>
                <w:bCs/>
                <w:color w:val="000000"/>
                <w:sz w:val="18"/>
                <w:szCs w:val="18"/>
              </w:rPr>
              <w:t xml:space="preserve">2.  </w:t>
            </w:r>
            <w:r>
              <w:rPr>
                <w:rFonts w:ascii="Arial" w:cs="Arial" w:eastAsia="Arial" w:hAnsi="Arial"/>
                <w:color w:val="111111"/>
                <w:sz w:val="18"/>
                <w:szCs w:val="18"/>
              </w:rPr>
              <w:t xml:space="preserve">System auto-rejects the application without initiating the preprocessing pipeline or model scoring.</w:t>
            </w:r>
          </w:p>
          <w:p>
            <w:pPr>
              <w:spacing w:before="40" w:after="40"/>
            </w:pPr>
            <w:r>
              <w:rPr>
                <w:rFonts w:ascii="Arial" w:cs="Arial" w:eastAsia="Arial" w:hAnsi="Arial"/>
                <w:b/>
                <w:bCs/>
                <w:color w:val="000000"/>
                <w:sz w:val="18"/>
                <w:szCs w:val="18"/>
              </w:rPr>
              <w:t xml:space="preserve">3.  </w:t>
            </w:r>
            <w:r>
              <w:rPr>
                <w:rFonts w:ascii="Arial" w:cs="Arial" w:eastAsia="Arial" w:hAnsi="Arial"/>
                <w:color w:val="111111"/>
                <w:sz w:val="18"/>
                <w:szCs w:val="18"/>
              </w:rPr>
              <w:t xml:space="preserve">System generates a rejection record with reason code: Blacklist Match.</w:t>
            </w:r>
          </w:p>
          <w:p>
            <w:pPr>
              <w:spacing w:before="40" w:after="40"/>
            </w:pPr>
            <w:r>
              <w:rPr>
                <w:rFonts w:ascii="Arial" w:cs="Arial" w:eastAsia="Arial" w:hAnsi="Arial"/>
                <w:b/>
                <w:bCs/>
                <w:color w:val="000000"/>
                <w:sz w:val="18"/>
                <w:szCs w:val="18"/>
              </w:rPr>
              <w:t xml:space="preserve">4.  </w:t>
            </w:r>
            <w:r>
              <w:rPr>
                <w:rFonts w:ascii="Arial" w:cs="Arial" w:eastAsia="Arial" w:hAnsi="Arial"/>
                <w:color w:val="111111"/>
                <w:sz w:val="18"/>
                <w:szCs w:val="18"/>
              </w:rPr>
              <w:t xml:space="preserve">Audit log entry is written via UC-06: Application ID, timestamp, actor = System, action = Auto-Reject, reason = Blacklist Match.</w:t>
            </w:r>
          </w:p>
          <w:p>
            <w:pPr>
              <w:spacing w:before="40" w:after="40"/>
            </w:pPr>
            <w:r>
              <w:rPr>
                <w:rFonts w:ascii="Arial" w:cs="Arial" w:eastAsia="Arial" w:hAnsi="Arial"/>
                <w:b/>
                <w:bCs/>
                <w:color w:val="000000"/>
                <w:sz w:val="18"/>
                <w:szCs w:val="18"/>
              </w:rPr>
              <w:t xml:space="preserve">5.  </w:t>
            </w:r>
            <w:r>
              <w:rPr>
                <w:rFonts w:ascii="Arial" w:cs="Arial" w:eastAsia="Arial" w:hAnsi="Arial"/>
                <w:color w:val="111111"/>
                <w:sz w:val="18"/>
                <w:szCs w:val="18"/>
              </w:rPr>
              <w:t xml:space="preserve">Compliance Officer is automatically notified with the application ID and rejection reason.</w:t>
            </w:r>
          </w:p>
          <w:p>
            <w:pPr>
              <w:spacing w:before="40" w:after="40"/>
            </w:pPr>
            <w:r>
              <w:rPr>
                <w:rFonts w:ascii="Arial" w:cs="Arial" w:eastAsia="Arial" w:hAnsi="Arial"/>
                <w:b/>
                <w:bCs/>
                <w:color w:val="000000"/>
                <w:sz w:val="18"/>
                <w:szCs w:val="18"/>
              </w:rPr>
              <w:t xml:space="preserve">6.  </w:t>
            </w:r>
            <w:r>
              <w:rPr>
                <w:rFonts w:ascii="Arial" w:cs="Arial" w:eastAsia="Arial" w:hAnsi="Arial"/>
                <w:color w:val="111111"/>
                <w:sz w:val="18"/>
                <w:szCs w:val="18"/>
              </w:rPr>
              <w:t xml:space="preserve">Applicant is notified that their application has been unsuccessful. No further details are provided to the applicant beyond the rejection outcome.</w:t>
            </w:r>
          </w:p>
        </w:tc>
      </w:tr>
      <w:tr>
        <w:tc>
          <w:tcPr>
            <w:tcW w:type="dxa" w:w="1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top"/>
          </w:tcPr>
          <w:p>
            <w:r>
              <w:rPr>
                <w:rFonts w:ascii="Arial" w:cs="Arial" w:eastAsia="Arial" w:hAnsi="Arial"/>
                <w:b/>
                <w:bCs/>
                <w:color w:val="000000"/>
                <w:sz w:val="18"/>
                <w:szCs w:val="18"/>
              </w:rPr>
              <w:t xml:space="preserve">Alternative Flow</w:t>
            </w:r>
          </w:p>
        </w:tc>
        <w:tc>
          <w:tcPr>
            <w:tcW w:type="dxa" w:w="7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11111"/>
                <w:sz w:val="18"/>
                <w:szCs w:val="18"/>
              </w:rPr>
              <w:t xml:space="preserve">None — blacklist rejection is a hard rule with no analyst override permitted at this stage. Any challenge to a blacklist classification must be handled through a separate administrative process outside the scope of this system.</w:t>
            </w:r>
          </w:p>
        </w:tc>
      </w:tr>
      <w:tr>
        <w:tc>
          <w:tcPr>
            <w:tcW w:type="dxa" w:w="1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top"/>
          </w:tcPr>
          <w:p>
            <w:r>
              <w:rPr>
                <w:rFonts w:ascii="Arial" w:cs="Arial" w:eastAsia="Arial" w:hAnsi="Arial"/>
                <w:b/>
                <w:bCs/>
                <w:color w:val="000000"/>
                <w:sz w:val="18"/>
                <w:szCs w:val="18"/>
              </w:rPr>
              <w:t xml:space="preserve">Exception Flow</w:t>
            </w:r>
          </w:p>
        </w:tc>
        <w:tc>
          <w:tcPr>
            <w:tcW w:type="dxa" w:w="756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top"/>
          </w:tcPr>
          <w:p>
            <w:r>
              <w:rPr>
                <w:rFonts w:ascii="Arial" w:cs="Arial" w:eastAsia="Arial" w:hAnsi="Arial"/>
                <w:color w:val="111111"/>
                <w:sz w:val="18"/>
                <w:szCs w:val="18"/>
              </w:rPr>
              <w:t xml:space="preserve">Audit log write fails — system retries three times; if all retries fail, IT is alerted and the rejection is held in a pending queue until the log write succeeds.</w:t>
            </w:r>
          </w:p>
        </w:tc>
      </w:tr>
      <w:tr>
        <w:tc>
          <w:tcPr>
            <w:tcW w:type="dxa" w:w="1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top"/>
          </w:tcPr>
          <w:p>
            <w:r>
              <w:rPr>
                <w:rFonts w:ascii="Arial" w:cs="Arial" w:eastAsia="Arial" w:hAnsi="Arial"/>
                <w:b/>
                <w:bCs/>
                <w:color w:val="000000"/>
                <w:sz w:val="18"/>
                <w:szCs w:val="18"/>
              </w:rPr>
              <w:t xml:space="preserve">Postcondition</w:t>
            </w:r>
          </w:p>
        </w:tc>
        <w:tc>
          <w:tcPr>
            <w:tcW w:type="dxa" w:w="7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11111"/>
                <w:sz w:val="18"/>
                <w:szCs w:val="18"/>
              </w:rPr>
              <w:t xml:space="preserve">Application is permanently rejected. Rejection reason and timestamp are recorded in the immutable audit log. Compliance Officer is notified. Applicant has received rejection notification. Model scoring resources were not consumed.</w:t>
            </w:r>
          </w:p>
        </w:tc>
      </w:tr>
      <w:tr>
        <w:tc>
          <w:tcPr>
            <w:tcW w:type="dxa" w:w="1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top"/>
          </w:tcPr>
          <w:p>
            <w:r>
              <w:rPr>
                <w:rFonts w:ascii="Arial" w:cs="Arial" w:eastAsia="Arial" w:hAnsi="Arial"/>
                <w:b/>
                <w:bCs/>
                <w:color w:val="000000"/>
                <w:sz w:val="18"/>
                <w:szCs w:val="18"/>
              </w:rPr>
              <w:t xml:space="preserve">Related FRD</w:t>
            </w:r>
          </w:p>
        </w:tc>
        <w:tc>
          <w:tcPr>
            <w:tcW w:type="dxa" w:w="756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top"/>
          </w:tcPr>
          <w:p>
            <w:r>
              <w:rPr>
                <w:rFonts w:ascii="Arial" w:cs="Arial" w:eastAsia="Arial" w:hAnsi="Arial"/>
                <w:color w:val="111111"/>
                <w:sz w:val="18"/>
                <w:szCs w:val="18"/>
              </w:rPr>
              <w:t xml:space="preserve">FR-06 (blacklist pre-score check), FR-09 (audit log), BR-RULE-01</w:t>
            </w:r>
          </w:p>
        </w:tc>
      </w:tr>
    </w:tbl>
    <w:p>
      <w:pPr>
        <w:spacing w:before="60" w:after="60"/>
      </w:pPr>
      <w:r>
        <w:t xml:space="preserve"/>
      </w:r>
    </w:p>
    <w:p>
      <w:pPr>
        <w:spacing w:before="200" w:after="60"/>
      </w:pPr>
      <w:r>
        <w:rPr>
          <w:rFonts w:ascii="Arial" w:cs="Arial" w:eastAsia="Arial" w:hAnsi="Arial"/>
          <w:b/>
          <w:bCs/>
          <w:color w:val="000000"/>
          <w:sz w:val="20"/>
          <w:szCs w:val="20"/>
        </w:rPr>
        <w:t xml:space="preserve">UC-06  |  Generate Audit Log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top"/>
          </w:tcPr>
          <w:p>
            <w:r>
              <w:rPr>
                <w:rFonts w:ascii="Arial" w:cs="Arial" w:eastAsia="Arial" w:hAnsi="Arial"/>
                <w:b/>
                <w:bCs/>
                <w:color w:val="000000"/>
                <w:sz w:val="18"/>
                <w:szCs w:val="18"/>
              </w:rPr>
              <w:t xml:space="preserve">Actor</w:t>
            </w:r>
          </w:p>
        </w:tc>
        <w:tc>
          <w:tcPr>
            <w:tcW w:type="dxa" w:w="7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11111"/>
                <w:sz w:val="18"/>
                <w:szCs w:val="18"/>
              </w:rPr>
              <w:t xml:space="preserve">Fraud Detection System (Automated)</w:t>
            </w:r>
          </w:p>
        </w:tc>
      </w:tr>
      <w:tr>
        <w:tc>
          <w:tcPr>
            <w:tcW w:type="dxa" w:w="1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top"/>
          </w:tcPr>
          <w:p>
            <w:r>
              <w:rPr>
                <w:rFonts w:ascii="Arial" w:cs="Arial" w:eastAsia="Arial" w:hAnsi="Arial"/>
                <w:b/>
                <w:bCs/>
                <w:color w:val="000000"/>
                <w:sz w:val="18"/>
                <w:szCs w:val="18"/>
              </w:rPr>
              <w:t xml:space="preserve">Preconditions</w:t>
            </w:r>
          </w:p>
        </w:tc>
        <w:tc>
          <w:tcPr>
            <w:tcW w:type="dxa" w:w="756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top"/>
          </w:tcPr>
          <w:p>
            <w:r>
              <w:rPr>
                <w:rFonts w:ascii="Arial" w:cs="Arial" w:eastAsia="Arial" w:hAnsi="Arial"/>
                <w:color w:val="111111"/>
                <w:sz w:val="18"/>
                <w:szCs w:val="18"/>
              </w:rPr>
              <w:t xml:space="preserve">Any scoring, routing, decision, or override event has occurred or is in progress on an application.</w:t>
            </w:r>
          </w:p>
        </w:tc>
      </w:tr>
      <w:tr>
        <w:tc>
          <w:tcPr>
            <w:tcW w:type="dxa" w:w="1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top"/>
          </w:tcPr>
          <w:p>
            <w:r>
              <w:rPr>
                <w:rFonts w:ascii="Arial" w:cs="Arial" w:eastAsia="Arial" w:hAnsi="Arial"/>
                <w:b/>
                <w:bCs/>
                <w:color w:val="000000"/>
                <w:sz w:val="18"/>
                <w:szCs w:val="18"/>
              </w:rPr>
              <w:t xml:space="preserve">Trigger</w:t>
            </w:r>
          </w:p>
        </w:tc>
        <w:tc>
          <w:tcPr>
            <w:tcW w:type="dxa" w:w="7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11111"/>
                <w:sz w:val="18"/>
                <w:szCs w:val="18"/>
              </w:rPr>
              <w:t xml:space="preserve">System completes any action on an application record: scoring, flagging, blacklist rejection, analyst decision, compliance decision, or model override.</w:t>
            </w:r>
          </w:p>
        </w:tc>
      </w:tr>
      <w:tr>
        <w:tc>
          <w:tcPr>
            <w:tcW w:type="dxa" w:w="1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top"/>
          </w:tcPr>
          <w:p>
            <w:r>
              <w:rPr>
                <w:rFonts w:ascii="Arial" w:cs="Arial" w:eastAsia="Arial" w:hAnsi="Arial"/>
                <w:b/>
                <w:bCs/>
                <w:color w:val="000000"/>
                <w:sz w:val="18"/>
                <w:szCs w:val="18"/>
              </w:rPr>
              <w:t xml:space="preserve">Main Flow</w:t>
            </w:r>
          </w:p>
        </w:tc>
        <w:tc>
          <w:tcPr>
            <w:tcW w:type="dxa" w:w="756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top"/>
          </w:tcPr>
          <w:p>
            <w:pPr>
              <w:spacing w:before="0" w:after="40"/>
            </w:pPr>
            <w:r>
              <w:rPr>
                <w:rFonts w:ascii="Arial" w:cs="Arial" w:eastAsia="Arial" w:hAnsi="Arial"/>
                <w:b/>
                <w:bCs/>
                <w:color w:val="000000"/>
                <w:sz w:val="18"/>
                <w:szCs w:val="18"/>
              </w:rPr>
              <w:t xml:space="preserve">1.  </w:t>
            </w:r>
            <w:r>
              <w:rPr>
                <w:rFonts w:ascii="Arial" w:cs="Arial" w:eastAsia="Arial" w:hAnsi="Arial"/>
                <w:color w:val="111111"/>
                <w:sz w:val="18"/>
                <w:szCs w:val="18"/>
              </w:rPr>
              <w:t xml:space="preserve">System captures the complete event context: Application ID, timestamp, actor (System or authenticated user ID), action type, all 28 input feature values, fraud probability, risk score, decision label, SHAP output (where applicable), and any justification text entered by a human actor.</w:t>
            </w:r>
          </w:p>
          <w:p>
            <w:pPr>
              <w:spacing w:before="40" w:after="40"/>
            </w:pPr>
            <w:r>
              <w:rPr>
                <w:rFonts w:ascii="Arial" w:cs="Arial" w:eastAsia="Arial" w:hAnsi="Arial"/>
                <w:b/>
                <w:bCs/>
                <w:color w:val="000000"/>
                <w:sz w:val="18"/>
                <w:szCs w:val="18"/>
              </w:rPr>
              <w:t xml:space="preserve">2.  </w:t>
            </w:r>
            <w:r>
              <w:rPr>
                <w:rFonts w:ascii="Arial" w:cs="Arial" w:eastAsia="Arial" w:hAnsi="Arial"/>
                <w:color w:val="111111"/>
                <w:sz w:val="18"/>
                <w:szCs w:val="18"/>
              </w:rPr>
              <w:t xml:space="preserve">Log entry is written to the append-only audit database in a single atomic transaction.</w:t>
            </w:r>
          </w:p>
          <w:p>
            <w:pPr>
              <w:spacing w:before="40" w:after="40"/>
            </w:pPr>
            <w:r>
              <w:rPr>
                <w:rFonts w:ascii="Arial" w:cs="Arial" w:eastAsia="Arial" w:hAnsi="Arial"/>
                <w:b/>
                <w:bCs/>
                <w:color w:val="000000"/>
                <w:sz w:val="18"/>
                <w:szCs w:val="18"/>
              </w:rPr>
              <w:t xml:space="preserve">3.  </w:t>
            </w:r>
            <w:r>
              <w:rPr>
                <w:rFonts w:ascii="Arial" w:cs="Arial" w:eastAsia="Arial" w:hAnsi="Arial"/>
                <w:color w:val="111111"/>
                <w:sz w:val="18"/>
                <w:szCs w:val="18"/>
              </w:rPr>
              <w:t xml:space="preserve">Entry is immediately locked — no edits, deletions, or overwrites are permitted post-write under any circumstance.</w:t>
            </w:r>
          </w:p>
          <w:p>
            <w:pPr>
              <w:spacing w:before="40" w:after="40"/>
            </w:pPr>
            <w:r>
              <w:rPr>
                <w:rFonts w:ascii="Arial" w:cs="Arial" w:eastAsia="Arial" w:hAnsi="Arial"/>
                <w:b/>
                <w:bCs/>
                <w:color w:val="000000"/>
                <w:sz w:val="18"/>
                <w:szCs w:val="18"/>
              </w:rPr>
              <w:t xml:space="preserve">4.  </w:t>
            </w:r>
            <w:r>
              <w:rPr>
                <w:rFonts w:ascii="Arial" w:cs="Arial" w:eastAsia="Arial" w:hAnsi="Arial"/>
                <w:color w:val="111111"/>
                <w:sz w:val="18"/>
                <w:szCs w:val="18"/>
              </w:rPr>
              <w:t xml:space="preserve">System confirms successful log write before returning the API response or updating the application status.</w:t>
            </w:r>
          </w:p>
        </w:tc>
      </w:tr>
      <w:tr>
        <w:tc>
          <w:tcPr>
            <w:tcW w:type="dxa" w:w="1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top"/>
          </w:tcPr>
          <w:p>
            <w:r>
              <w:rPr>
                <w:rFonts w:ascii="Arial" w:cs="Arial" w:eastAsia="Arial" w:hAnsi="Arial"/>
                <w:b/>
                <w:bCs/>
                <w:color w:val="000000"/>
                <w:sz w:val="18"/>
                <w:szCs w:val="18"/>
              </w:rPr>
              <w:t xml:space="preserve">Alternative Flow</w:t>
            </w:r>
          </w:p>
        </w:tc>
        <w:tc>
          <w:tcPr>
            <w:tcW w:type="dxa" w:w="7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11111"/>
                <w:sz w:val="18"/>
                <w:szCs w:val="18"/>
              </w:rPr>
              <w:t xml:space="preserve">None — audit logging is mandatory for every event. There is no path through the system that bypasses UC-06.</w:t>
            </w:r>
          </w:p>
        </w:tc>
      </w:tr>
      <w:tr>
        <w:tc>
          <w:tcPr>
            <w:tcW w:type="dxa" w:w="1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top"/>
          </w:tcPr>
          <w:p>
            <w:r>
              <w:rPr>
                <w:rFonts w:ascii="Arial" w:cs="Arial" w:eastAsia="Arial" w:hAnsi="Arial"/>
                <w:b/>
                <w:bCs/>
                <w:color w:val="000000"/>
                <w:sz w:val="18"/>
                <w:szCs w:val="18"/>
              </w:rPr>
              <w:t xml:space="preserve">Exception Flow</w:t>
            </w:r>
          </w:p>
        </w:tc>
        <w:tc>
          <w:tcPr>
            <w:tcW w:type="dxa" w:w="756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top"/>
          </w:tcPr>
          <w:p>
            <w:r>
              <w:rPr>
                <w:rFonts w:ascii="Arial" w:cs="Arial" w:eastAsia="Arial" w:hAnsi="Arial"/>
                <w:color w:val="111111"/>
                <w:sz w:val="18"/>
                <w:szCs w:val="18"/>
              </w:rPr>
              <w:t xml:space="preserve">Log write fails — system retries three times with exponential backoff. If all retries fail, the triggering action (scoring or decision) is halted for that record and IT is alerted immediately. The application is placed in a pending state until the log write succeeds. The system never completes an action without a corresponding log entry.</w:t>
            </w:r>
          </w:p>
        </w:tc>
      </w:tr>
      <w:tr>
        <w:tc>
          <w:tcPr>
            <w:tcW w:type="dxa" w:w="1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top"/>
          </w:tcPr>
          <w:p>
            <w:r>
              <w:rPr>
                <w:rFonts w:ascii="Arial" w:cs="Arial" w:eastAsia="Arial" w:hAnsi="Arial"/>
                <w:b/>
                <w:bCs/>
                <w:color w:val="000000"/>
                <w:sz w:val="18"/>
                <w:szCs w:val="18"/>
              </w:rPr>
              <w:t xml:space="preserve">Postcondition</w:t>
            </w:r>
          </w:p>
        </w:tc>
        <w:tc>
          <w:tcPr>
            <w:tcW w:type="dxa" w:w="7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11111"/>
                <w:sz w:val="18"/>
                <w:szCs w:val="18"/>
              </w:rPr>
              <w:t xml:space="preserve">An immutable, timestamped audit log entry exists for the event. The entry contains all fields required for regulatory audit and fair-lending compliance review. Log is retained for a minimum of 7 years.</w:t>
            </w:r>
          </w:p>
        </w:tc>
      </w:tr>
      <w:tr>
        <w:tc>
          <w:tcPr>
            <w:tcW w:type="dxa" w:w="1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top"/>
          </w:tcPr>
          <w:p>
            <w:r>
              <w:rPr>
                <w:rFonts w:ascii="Arial" w:cs="Arial" w:eastAsia="Arial" w:hAnsi="Arial"/>
                <w:b/>
                <w:bCs/>
                <w:color w:val="000000"/>
                <w:sz w:val="18"/>
                <w:szCs w:val="18"/>
              </w:rPr>
              <w:t xml:space="preserve">Related FRD</w:t>
            </w:r>
          </w:p>
        </w:tc>
        <w:tc>
          <w:tcPr>
            <w:tcW w:type="dxa" w:w="756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top"/>
          </w:tcPr>
          <w:p>
            <w:r>
              <w:rPr>
                <w:rFonts w:ascii="Arial" w:cs="Arial" w:eastAsia="Arial" w:hAnsi="Arial"/>
                <w:color w:val="111111"/>
                <w:sz w:val="18"/>
                <w:szCs w:val="18"/>
              </w:rPr>
              <w:t xml:space="preserve">FR-09 (audit log), FR-19 (7-year retention), NFR-03</w:t>
            </w:r>
          </w:p>
        </w:tc>
      </w:tr>
    </w:tbl>
    <w:p>
      <w:pPr>
        <w:spacing w:before="60" w:after="60"/>
      </w:pPr>
      <w:r>
        <w:t xml:space="preserve"/>
      </w:r>
    </w:p>
    <w:p>
      <w:pPr>
        <w:spacing w:before="200" w:after="60"/>
      </w:pPr>
      <w:r>
        <w:rPr>
          <w:rFonts w:ascii="Arial" w:cs="Arial" w:eastAsia="Arial" w:hAnsi="Arial"/>
          <w:b/>
          <w:bCs/>
          <w:color w:val="000000"/>
          <w:sz w:val="20"/>
          <w:szCs w:val="20"/>
        </w:rPr>
        <w:t xml:space="preserve">UC-07  |  View Fraud Risk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top"/>
          </w:tcPr>
          <w:p>
            <w:r>
              <w:rPr>
                <w:rFonts w:ascii="Arial" w:cs="Arial" w:eastAsia="Arial" w:hAnsi="Arial"/>
                <w:b/>
                <w:bCs/>
                <w:color w:val="000000"/>
                <w:sz w:val="18"/>
                <w:szCs w:val="18"/>
              </w:rPr>
              <w:t xml:space="preserve">Actor</w:t>
            </w:r>
          </w:p>
        </w:tc>
        <w:tc>
          <w:tcPr>
            <w:tcW w:type="dxa" w:w="7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11111"/>
                <w:sz w:val="18"/>
                <w:szCs w:val="18"/>
              </w:rPr>
              <w:t xml:space="preserve">Head of Risk (Internal)</w:t>
            </w:r>
          </w:p>
        </w:tc>
      </w:tr>
      <w:tr>
        <w:tc>
          <w:tcPr>
            <w:tcW w:type="dxa" w:w="1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top"/>
          </w:tcPr>
          <w:p>
            <w:r>
              <w:rPr>
                <w:rFonts w:ascii="Arial" w:cs="Arial" w:eastAsia="Arial" w:hAnsi="Arial"/>
                <w:b/>
                <w:bCs/>
                <w:color w:val="000000"/>
                <w:sz w:val="18"/>
                <w:szCs w:val="18"/>
              </w:rPr>
              <w:t xml:space="preserve">Preconditions</w:t>
            </w:r>
          </w:p>
        </w:tc>
        <w:tc>
          <w:tcPr>
            <w:tcW w:type="dxa" w:w="756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top"/>
          </w:tcPr>
          <w:p>
            <w:r>
              <w:rPr>
                <w:rFonts w:ascii="Arial" w:cs="Arial" w:eastAsia="Arial" w:hAnsi="Arial"/>
                <w:color w:val="111111"/>
                <w:sz w:val="18"/>
                <w:szCs w:val="18"/>
              </w:rPr>
              <w:t xml:space="preserve">User is authenticated with the Risk Management role. Dashboard service is available. At least one scoring event has occurred in the current reporting period.</w:t>
            </w:r>
          </w:p>
        </w:tc>
      </w:tr>
      <w:tr>
        <w:tc>
          <w:tcPr>
            <w:tcW w:type="dxa" w:w="1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top"/>
          </w:tcPr>
          <w:p>
            <w:r>
              <w:rPr>
                <w:rFonts w:ascii="Arial" w:cs="Arial" w:eastAsia="Arial" w:hAnsi="Arial"/>
                <w:b/>
                <w:bCs/>
                <w:color w:val="000000"/>
                <w:sz w:val="18"/>
                <w:szCs w:val="18"/>
              </w:rPr>
              <w:t xml:space="preserve">Trigger</w:t>
            </w:r>
          </w:p>
        </w:tc>
        <w:tc>
          <w:tcPr>
            <w:tcW w:type="dxa" w:w="7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11111"/>
                <w:sz w:val="18"/>
                <w:szCs w:val="18"/>
              </w:rPr>
              <w:t xml:space="preserve">Head of Risk navigates to the fraud monitoring dashboard.</w:t>
            </w:r>
          </w:p>
        </w:tc>
      </w:tr>
      <w:tr>
        <w:tc>
          <w:tcPr>
            <w:tcW w:type="dxa" w:w="1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top"/>
          </w:tcPr>
          <w:p>
            <w:r>
              <w:rPr>
                <w:rFonts w:ascii="Arial" w:cs="Arial" w:eastAsia="Arial" w:hAnsi="Arial"/>
                <w:b/>
                <w:bCs/>
                <w:color w:val="000000"/>
                <w:sz w:val="18"/>
                <w:szCs w:val="18"/>
              </w:rPr>
              <w:t xml:space="preserve">Main Flow</w:t>
            </w:r>
          </w:p>
        </w:tc>
        <w:tc>
          <w:tcPr>
            <w:tcW w:type="dxa" w:w="756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top"/>
          </w:tcPr>
          <w:p>
            <w:pPr>
              <w:spacing w:before="0" w:after="40"/>
            </w:pPr>
            <w:r>
              <w:rPr>
                <w:rFonts w:ascii="Arial" w:cs="Arial" w:eastAsia="Arial" w:hAnsi="Arial"/>
                <w:b/>
                <w:bCs/>
                <w:color w:val="000000"/>
                <w:sz w:val="18"/>
                <w:szCs w:val="18"/>
              </w:rPr>
              <w:t xml:space="preserve">1.  </w:t>
            </w:r>
            <w:r>
              <w:rPr>
                <w:rFonts w:ascii="Arial" w:cs="Arial" w:eastAsia="Arial" w:hAnsi="Arial"/>
                <w:color w:val="111111"/>
                <w:sz w:val="18"/>
                <w:szCs w:val="18"/>
              </w:rPr>
              <w:t xml:space="preserve">Dashboard loads and displays current period KPIs: total applications scored, total fraud flags raised, fraud detection rate (recall), false positive rate, and flagged vs approved breakdown by decision stage.</w:t>
            </w:r>
          </w:p>
          <w:p>
            <w:pPr>
              <w:spacing w:before="40" w:after="40"/>
            </w:pPr>
            <w:r>
              <w:rPr>
                <w:rFonts w:ascii="Arial" w:cs="Arial" w:eastAsia="Arial" w:hAnsi="Arial"/>
                <w:b/>
                <w:bCs/>
                <w:color w:val="000000"/>
                <w:sz w:val="18"/>
                <w:szCs w:val="18"/>
              </w:rPr>
              <w:t xml:space="preserve">2.  </w:t>
            </w:r>
            <w:r>
              <w:rPr>
                <w:rFonts w:ascii="Arial" w:cs="Arial" w:eastAsia="Arial" w:hAnsi="Arial"/>
                <w:color w:val="111111"/>
                <w:sz w:val="18"/>
                <w:szCs w:val="18"/>
              </w:rPr>
              <w:t xml:space="preserve">User can apply filters: date range, loan purpose, applicant occupation, location of application, and decision outcome.</w:t>
            </w:r>
          </w:p>
          <w:p>
            <w:pPr>
              <w:spacing w:before="40" w:after="40"/>
            </w:pPr>
            <w:r>
              <w:rPr>
                <w:rFonts w:ascii="Arial" w:cs="Arial" w:eastAsia="Arial" w:hAnsi="Arial"/>
                <w:b/>
                <w:bCs/>
                <w:color w:val="000000"/>
                <w:sz w:val="18"/>
                <w:szCs w:val="18"/>
              </w:rPr>
              <w:t xml:space="preserve">3.  </w:t>
            </w:r>
            <w:r>
              <w:rPr>
                <w:rFonts w:ascii="Arial" w:cs="Arial" w:eastAsia="Arial" w:hAnsi="Arial"/>
                <w:color w:val="111111"/>
                <w:sz w:val="18"/>
                <w:szCs w:val="18"/>
              </w:rPr>
              <w:t xml:space="preserve">User can view a time-series chart of fraud flag rate and false positive rate to identify trends and potential model drift.</w:t>
            </w:r>
          </w:p>
          <w:p>
            <w:pPr>
              <w:spacing w:before="40" w:after="40"/>
            </w:pPr>
            <w:r>
              <w:rPr>
                <w:rFonts w:ascii="Arial" w:cs="Arial" w:eastAsia="Arial" w:hAnsi="Arial"/>
                <w:b/>
                <w:bCs/>
                <w:color w:val="000000"/>
                <w:sz w:val="18"/>
                <w:szCs w:val="18"/>
              </w:rPr>
              <w:t xml:space="preserve">4.  </w:t>
            </w:r>
            <w:r>
              <w:rPr>
                <w:rFonts w:ascii="Arial" w:cs="Arial" w:eastAsia="Arial" w:hAnsi="Arial"/>
                <w:color w:val="111111"/>
                <w:sz w:val="18"/>
                <w:szCs w:val="18"/>
              </w:rPr>
              <w:t xml:space="preserve">User can drill into individual flagged applications to view the fraud score, SHAP explanation, decision history, and audit log for that case.</w:t>
            </w:r>
          </w:p>
          <w:p>
            <w:pPr>
              <w:spacing w:before="40" w:after="40"/>
            </w:pPr>
            <w:r>
              <w:rPr>
                <w:rFonts w:ascii="Arial" w:cs="Arial" w:eastAsia="Arial" w:hAnsi="Arial"/>
                <w:b/>
                <w:bCs/>
                <w:color w:val="000000"/>
                <w:sz w:val="18"/>
                <w:szCs w:val="18"/>
              </w:rPr>
              <w:t xml:space="preserve">5.  </w:t>
            </w:r>
            <w:r>
              <w:rPr>
                <w:rFonts w:ascii="Arial" w:cs="Arial" w:eastAsia="Arial" w:hAnsi="Arial"/>
                <w:color w:val="111111"/>
                <w:sz w:val="18"/>
                <w:szCs w:val="18"/>
              </w:rPr>
              <w:t xml:space="preserve">User can export the current view as a PDF or CSV report for offline distribution.</w:t>
            </w:r>
          </w:p>
        </w:tc>
      </w:tr>
      <w:tr>
        <w:tc>
          <w:tcPr>
            <w:tcW w:type="dxa" w:w="1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top"/>
          </w:tcPr>
          <w:p>
            <w:r>
              <w:rPr>
                <w:rFonts w:ascii="Arial" w:cs="Arial" w:eastAsia="Arial" w:hAnsi="Arial"/>
                <w:b/>
                <w:bCs/>
                <w:color w:val="000000"/>
                <w:sz w:val="18"/>
                <w:szCs w:val="18"/>
              </w:rPr>
              <w:t xml:space="preserve">Alternative Flow</w:t>
            </w:r>
          </w:p>
        </w:tc>
        <w:tc>
          <w:tcPr>
            <w:tcW w:type="dxa" w:w="7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11111"/>
                <w:sz w:val="18"/>
                <w:szCs w:val="18"/>
              </w:rPr>
              <w:t xml:space="preserve">4a. User navigates to a specific application from the dashboard — this transitions into the UC-03 review flow if the application is still in the manual review queue, or displays a read-only case view if it has been decided.</w:t>
            </w:r>
          </w:p>
        </w:tc>
      </w:tr>
      <w:tr>
        <w:tc>
          <w:tcPr>
            <w:tcW w:type="dxa" w:w="1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top"/>
          </w:tcPr>
          <w:p>
            <w:r>
              <w:rPr>
                <w:rFonts w:ascii="Arial" w:cs="Arial" w:eastAsia="Arial" w:hAnsi="Arial"/>
                <w:b/>
                <w:bCs/>
                <w:color w:val="000000"/>
                <w:sz w:val="18"/>
                <w:szCs w:val="18"/>
              </w:rPr>
              <w:t xml:space="preserve">Exception Flow</w:t>
            </w:r>
          </w:p>
        </w:tc>
        <w:tc>
          <w:tcPr>
            <w:tcW w:type="dxa" w:w="756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top"/>
          </w:tcPr>
          <w:p>
            <w:r>
              <w:rPr>
                <w:rFonts w:ascii="Arial" w:cs="Arial" w:eastAsia="Arial" w:hAnsi="Arial"/>
                <w:color w:val="111111"/>
                <w:sz w:val="18"/>
                <w:szCs w:val="18"/>
              </w:rPr>
              <w:t xml:space="preserve">1a. No data available for selected period — dashboard displays an empty state message with guidance to adjust the date filter.</w:t>
            </w:r>
          </w:p>
        </w:tc>
      </w:tr>
      <w:tr>
        <w:tc>
          <w:tcPr>
            <w:tcW w:type="dxa" w:w="1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top"/>
          </w:tcPr>
          <w:p>
            <w:r>
              <w:rPr>
                <w:rFonts w:ascii="Arial" w:cs="Arial" w:eastAsia="Arial" w:hAnsi="Arial"/>
                <w:b/>
                <w:bCs/>
                <w:color w:val="000000"/>
                <w:sz w:val="18"/>
                <w:szCs w:val="18"/>
              </w:rPr>
              <w:t xml:space="preserve">Postcondition</w:t>
            </w:r>
          </w:p>
        </w:tc>
        <w:tc>
          <w:tcPr>
            <w:tcW w:type="dxa" w:w="7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11111"/>
                <w:sz w:val="18"/>
                <w:szCs w:val="18"/>
              </w:rPr>
              <w:t xml:space="preserve">Head of Risk has current visibility of fraud detection performance. No application records have been modified. Any drilldown views are read-only unless the user navigates to an active review queue item.</w:t>
            </w:r>
          </w:p>
        </w:tc>
      </w:tr>
      <w:tr>
        <w:tc>
          <w:tcPr>
            <w:tcW w:type="dxa" w:w="1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top"/>
          </w:tcPr>
          <w:p>
            <w:r>
              <w:rPr>
                <w:rFonts w:ascii="Arial" w:cs="Arial" w:eastAsia="Arial" w:hAnsi="Arial"/>
                <w:b/>
                <w:bCs/>
                <w:color w:val="000000"/>
                <w:sz w:val="18"/>
                <w:szCs w:val="18"/>
              </w:rPr>
              <w:t xml:space="preserve">Related FRD</w:t>
            </w:r>
          </w:p>
        </w:tc>
        <w:tc>
          <w:tcPr>
            <w:tcW w:type="dxa" w:w="756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top"/>
          </w:tcPr>
          <w:p>
            <w:r>
              <w:rPr>
                <w:rFonts w:ascii="Arial" w:cs="Arial" w:eastAsia="Arial" w:hAnsi="Arial"/>
                <w:color w:val="111111"/>
                <w:sz w:val="18"/>
                <w:szCs w:val="18"/>
              </w:rPr>
              <w:t xml:space="preserve">FR-15 (performance reporting), FDS-BRD-001 BO-3</w:t>
            </w:r>
          </w:p>
        </w:tc>
      </w:tr>
    </w:tbl>
    <w:p>
      <w:pPr>
        <w:spacing w:before="60" w:after="60"/>
      </w:pPr>
      <w:r>
        <w:t xml:space="preserve"/>
      </w:r>
    </w:p>
    <w:p>
      <w:pPr>
        <w:spacing w:before="200" w:after="60"/>
      </w:pPr>
      <w:r>
        <w:rPr>
          <w:rFonts w:ascii="Arial" w:cs="Arial" w:eastAsia="Arial" w:hAnsi="Arial"/>
          <w:b/>
          <w:bCs/>
          <w:color w:val="000000"/>
          <w:sz w:val="20"/>
          <w:szCs w:val="20"/>
        </w:rPr>
        <w:t xml:space="preserve">UC-08  |  Override Model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top"/>
          </w:tcPr>
          <w:p>
            <w:r>
              <w:rPr>
                <w:rFonts w:ascii="Arial" w:cs="Arial" w:eastAsia="Arial" w:hAnsi="Arial"/>
                <w:b/>
                <w:bCs/>
                <w:color w:val="000000"/>
                <w:sz w:val="18"/>
                <w:szCs w:val="18"/>
              </w:rPr>
              <w:t xml:space="preserve">Actor</w:t>
            </w:r>
          </w:p>
        </w:tc>
        <w:tc>
          <w:tcPr>
            <w:tcW w:type="dxa" w:w="7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11111"/>
                <w:sz w:val="18"/>
                <w:szCs w:val="18"/>
              </w:rPr>
              <w:t xml:space="preserve">Compliance Officer (Internal)</w:t>
            </w:r>
          </w:p>
        </w:tc>
      </w:tr>
      <w:tr>
        <w:tc>
          <w:tcPr>
            <w:tcW w:type="dxa" w:w="1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top"/>
          </w:tcPr>
          <w:p>
            <w:r>
              <w:rPr>
                <w:rFonts w:ascii="Arial" w:cs="Arial" w:eastAsia="Arial" w:hAnsi="Arial"/>
                <w:b/>
                <w:bCs/>
                <w:color w:val="000000"/>
                <w:sz w:val="18"/>
                <w:szCs w:val="18"/>
              </w:rPr>
              <w:t xml:space="preserve">Preconditions</w:t>
            </w:r>
          </w:p>
        </w:tc>
        <w:tc>
          <w:tcPr>
            <w:tcW w:type="dxa" w:w="756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top"/>
          </w:tcPr>
          <w:p>
            <w:r>
              <w:rPr>
                <w:rFonts w:ascii="Arial" w:cs="Arial" w:eastAsia="Arial" w:hAnsi="Arial"/>
                <w:color w:val="111111"/>
                <w:sz w:val="18"/>
                <w:szCs w:val="18"/>
              </w:rPr>
              <w:t xml:space="preserve">An application has a system-generated decision (Low / Medium / High / Auto-Reject) that the Compliance Officer believes is incorrect based on available evidence. Compliance Officer is authenticated with the Override permission.</w:t>
            </w:r>
          </w:p>
        </w:tc>
      </w:tr>
      <w:tr>
        <w:tc>
          <w:tcPr>
            <w:tcW w:type="dxa" w:w="1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top"/>
          </w:tcPr>
          <w:p>
            <w:r>
              <w:rPr>
                <w:rFonts w:ascii="Arial" w:cs="Arial" w:eastAsia="Arial" w:hAnsi="Arial"/>
                <w:b/>
                <w:bCs/>
                <w:color w:val="000000"/>
                <w:sz w:val="18"/>
                <w:szCs w:val="18"/>
              </w:rPr>
              <w:t xml:space="preserve">Trigger</w:t>
            </w:r>
          </w:p>
        </w:tc>
        <w:tc>
          <w:tcPr>
            <w:tcW w:type="dxa" w:w="7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11111"/>
                <w:sz w:val="18"/>
                <w:szCs w:val="18"/>
              </w:rPr>
              <w:t xml:space="preserve">Compliance Officer identifies a model decision that is incorrect, unjust, or non-compliant and initiates an override.</w:t>
            </w:r>
          </w:p>
        </w:tc>
      </w:tr>
      <w:tr>
        <w:tc>
          <w:tcPr>
            <w:tcW w:type="dxa" w:w="1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top"/>
          </w:tcPr>
          <w:p>
            <w:r>
              <w:rPr>
                <w:rFonts w:ascii="Arial" w:cs="Arial" w:eastAsia="Arial" w:hAnsi="Arial"/>
                <w:b/>
                <w:bCs/>
                <w:color w:val="000000"/>
                <w:sz w:val="18"/>
                <w:szCs w:val="18"/>
              </w:rPr>
              <w:t xml:space="preserve">Main Flow</w:t>
            </w:r>
          </w:p>
        </w:tc>
        <w:tc>
          <w:tcPr>
            <w:tcW w:type="dxa" w:w="756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top"/>
          </w:tcPr>
          <w:p>
            <w:pPr>
              <w:spacing w:before="0" w:after="40"/>
            </w:pPr>
            <w:r>
              <w:rPr>
                <w:rFonts w:ascii="Arial" w:cs="Arial" w:eastAsia="Arial" w:hAnsi="Arial"/>
                <w:b/>
                <w:bCs/>
                <w:color w:val="000000"/>
                <w:sz w:val="18"/>
                <w:szCs w:val="18"/>
              </w:rPr>
              <w:t xml:space="preserve">1.  </w:t>
            </w:r>
            <w:r>
              <w:rPr>
                <w:rFonts w:ascii="Arial" w:cs="Arial" w:eastAsia="Arial" w:hAnsi="Arial"/>
                <w:color w:val="111111"/>
                <w:sz w:val="18"/>
                <w:szCs w:val="18"/>
              </w:rPr>
              <w:t xml:space="preserve">Compliance Officer locates the application record using the Application ID and opens the case detail view.</w:t>
            </w:r>
          </w:p>
          <w:p>
            <w:pPr>
              <w:spacing w:before="40" w:after="40"/>
            </w:pPr>
            <w:r>
              <w:rPr>
                <w:rFonts w:ascii="Arial" w:cs="Arial" w:eastAsia="Arial" w:hAnsi="Arial"/>
                <w:b/>
                <w:bCs/>
                <w:color w:val="000000"/>
                <w:sz w:val="18"/>
                <w:szCs w:val="18"/>
              </w:rPr>
              <w:t xml:space="preserve">2.  </w:t>
            </w:r>
            <w:r>
              <w:rPr>
                <w:rFonts w:ascii="Arial" w:cs="Arial" w:eastAsia="Arial" w:hAnsi="Arial"/>
                <w:color w:val="111111"/>
                <w:sz w:val="18"/>
                <w:szCs w:val="18"/>
              </w:rPr>
              <w:t xml:space="preserve">Officer reviews the original model decision, fraud score, SHAP explanation, and full audit trail for the case.</w:t>
            </w:r>
          </w:p>
          <w:p>
            <w:pPr>
              <w:spacing w:before="40" w:after="40"/>
            </w:pPr>
            <w:r>
              <w:rPr>
                <w:rFonts w:ascii="Arial" w:cs="Arial" w:eastAsia="Arial" w:hAnsi="Arial"/>
                <w:b/>
                <w:bCs/>
                <w:color w:val="000000"/>
                <w:sz w:val="18"/>
                <w:szCs w:val="18"/>
              </w:rPr>
              <w:t xml:space="preserve">3.  </w:t>
            </w:r>
            <w:r>
              <w:rPr>
                <w:rFonts w:ascii="Arial" w:cs="Arial" w:eastAsia="Arial" w:hAnsi="Arial"/>
                <w:color w:val="111111"/>
                <w:sz w:val="18"/>
                <w:szCs w:val="18"/>
              </w:rPr>
              <w:t xml:space="preserve">Officer selects Override Decision from the case action menu.</w:t>
            </w:r>
          </w:p>
          <w:p>
            <w:pPr>
              <w:spacing w:before="40" w:after="40"/>
            </w:pPr>
            <w:r>
              <w:rPr>
                <w:rFonts w:ascii="Arial" w:cs="Arial" w:eastAsia="Arial" w:hAnsi="Arial"/>
                <w:b/>
                <w:bCs/>
                <w:color w:val="000000"/>
                <w:sz w:val="18"/>
                <w:szCs w:val="18"/>
              </w:rPr>
              <w:t xml:space="preserve">4.  </w:t>
            </w:r>
            <w:r>
              <w:rPr>
                <w:rFonts w:ascii="Arial" w:cs="Arial" w:eastAsia="Arial" w:hAnsi="Arial"/>
                <w:color w:val="111111"/>
                <w:sz w:val="18"/>
                <w:szCs w:val="18"/>
              </w:rPr>
              <w:t xml:space="preserve">System presents the override form: new decision field (Approve / Reject) and a mandatory justification text field of at least 100 characters.</w:t>
            </w:r>
          </w:p>
          <w:p>
            <w:pPr>
              <w:spacing w:before="40" w:after="40"/>
            </w:pPr>
            <w:r>
              <w:rPr>
                <w:rFonts w:ascii="Arial" w:cs="Arial" w:eastAsia="Arial" w:hAnsi="Arial"/>
                <w:b/>
                <w:bCs/>
                <w:color w:val="000000"/>
                <w:sz w:val="18"/>
                <w:szCs w:val="18"/>
              </w:rPr>
              <w:t xml:space="preserve">5.  </w:t>
            </w:r>
            <w:r>
              <w:rPr>
                <w:rFonts w:ascii="Arial" w:cs="Arial" w:eastAsia="Arial" w:hAnsi="Arial"/>
                <w:color w:val="111111"/>
                <w:sz w:val="18"/>
                <w:szCs w:val="18"/>
              </w:rPr>
              <w:t xml:space="preserve">Compliance Officer selects the new decision and enters a detailed justification.</w:t>
            </w:r>
          </w:p>
          <w:p>
            <w:pPr>
              <w:spacing w:before="40" w:after="40"/>
            </w:pPr>
            <w:r>
              <w:rPr>
                <w:rFonts w:ascii="Arial" w:cs="Arial" w:eastAsia="Arial" w:hAnsi="Arial"/>
                <w:b/>
                <w:bCs/>
                <w:color w:val="000000"/>
                <w:sz w:val="18"/>
                <w:szCs w:val="18"/>
              </w:rPr>
              <w:t xml:space="preserve">6.  </w:t>
            </w:r>
            <w:r>
              <w:rPr>
                <w:rFonts w:ascii="Arial" w:cs="Arial" w:eastAsia="Arial" w:hAnsi="Arial"/>
                <w:color w:val="111111"/>
                <w:sz w:val="18"/>
                <w:szCs w:val="18"/>
              </w:rPr>
              <w:t xml:space="preserve">System writes an override audit log entry via UC-06: original model decision, new decision, Compliance Officer ID, justification text, and timestamp. The override entry is flagged with a MODEL_OVERRIDE tag for the model review team.</w:t>
            </w:r>
          </w:p>
          <w:p>
            <w:pPr>
              <w:spacing w:before="40" w:after="40"/>
            </w:pPr>
            <w:r>
              <w:rPr>
                <w:rFonts w:ascii="Arial" w:cs="Arial" w:eastAsia="Arial" w:hAnsi="Arial"/>
                <w:b/>
                <w:bCs/>
                <w:color w:val="000000"/>
                <w:sz w:val="18"/>
                <w:szCs w:val="18"/>
              </w:rPr>
              <w:t xml:space="preserve">7.  </w:t>
            </w:r>
            <w:r>
              <w:rPr>
                <w:rFonts w:ascii="Arial" w:cs="Arial" w:eastAsia="Arial" w:hAnsi="Arial"/>
                <w:color w:val="111111"/>
                <w:sz w:val="18"/>
                <w:szCs w:val="18"/>
              </w:rPr>
              <w:t xml:space="preserve">New decision is applied to the application record alongside the original model decision; both are permanently visible in the case history.</w:t>
            </w:r>
          </w:p>
          <w:p>
            <w:pPr>
              <w:spacing w:before="40" w:after="40"/>
            </w:pPr>
            <w:r>
              <w:rPr>
                <w:rFonts w:ascii="Arial" w:cs="Arial" w:eastAsia="Arial" w:hAnsi="Arial"/>
                <w:b/>
                <w:bCs/>
                <w:color w:val="000000"/>
                <w:sz w:val="18"/>
                <w:szCs w:val="18"/>
              </w:rPr>
              <w:t xml:space="preserve">8.  </w:t>
            </w:r>
            <w:r>
              <w:rPr>
                <w:rFonts w:ascii="Arial" w:cs="Arial" w:eastAsia="Arial" w:hAnsi="Arial"/>
                <w:color w:val="111111"/>
                <w:sz w:val="18"/>
                <w:szCs w:val="18"/>
              </w:rPr>
              <w:t xml:space="preserve">Model review team is automatically notified of the override event for consideration in the next retraining cycle.</w:t>
            </w:r>
          </w:p>
        </w:tc>
      </w:tr>
      <w:tr>
        <w:tc>
          <w:tcPr>
            <w:tcW w:type="dxa" w:w="1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top"/>
          </w:tcPr>
          <w:p>
            <w:r>
              <w:rPr>
                <w:rFonts w:ascii="Arial" w:cs="Arial" w:eastAsia="Arial" w:hAnsi="Arial"/>
                <w:b/>
                <w:bCs/>
                <w:color w:val="000000"/>
                <w:sz w:val="18"/>
                <w:szCs w:val="18"/>
              </w:rPr>
              <w:t xml:space="preserve">Alternative Flow</w:t>
            </w:r>
          </w:p>
        </w:tc>
        <w:tc>
          <w:tcPr>
            <w:tcW w:type="dxa" w:w="7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11111"/>
                <w:sz w:val="18"/>
                <w:szCs w:val="18"/>
              </w:rPr>
              <w:t xml:space="preserve">3a. Officer decides not to override after reviewing the evidence — case is closed with no change. A note may optionally be added to the audit trail confirming the review was conducted but no override was warranted.</w:t>
            </w:r>
          </w:p>
        </w:tc>
      </w:tr>
      <w:tr>
        <w:tc>
          <w:tcPr>
            <w:tcW w:type="dxa" w:w="1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top"/>
          </w:tcPr>
          <w:p>
            <w:r>
              <w:rPr>
                <w:rFonts w:ascii="Arial" w:cs="Arial" w:eastAsia="Arial" w:hAnsi="Arial"/>
                <w:b/>
                <w:bCs/>
                <w:color w:val="000000"/>
                <w:sz w:val="18"/>
                <w:szCs w:val="18"/>
              </w:rPr>
              <w:t xml:space="preserve">Exception Flow</w:t>
            </w:r>
          </w:p>
        </w:tc>
        <w:tc>
          <w:tcPr>
            <w:tcW w:type="dxa" w:w="756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top"/>
          </w:tcPr>
          <w:p>
            <w:r>
              <w:rPr>
                <w:rFonts w:ascii="Arial" w:cs="Arial" w:eastAsia="Arial" w:hAnsi="Arial"/>
                <w:color w:val="111111"/>
                <w:sz w:val="18"/>
                <w:szCs w:val="18"/>
              </w:rPr>
              <w:t xml:space="preserve">4a. Justification field is less than 100 characters — system blocks submission and highlights the requirement. Override cannot be submitted without adequate justification.</w:t>
            </w:r>
          </w:p>
        </w:tc>
      </w:tr>
      <w:tr>
        <w:tc>
          <w:tcPr>
            <w:tcW w:type="dxa" w:w="1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top"/>
          </w:tcPr>
          <w:p>
            <w:r>
              <w:rPr>
                <w:rFonts w:ascii="Arial" w:cs="Arial" w:eastAsia="Arial" w:hAnsi="Arial"/>
                <w:b/>
                <w:bCs/>
                <w:color w:val="000000"/>
                <w:sz w:val="18"/>
                <w:szCs w:val="18"/>
              </w:rPr>
              <w:t xml:space="preserve">Postcondition</w:t>
            </w:r>
          </w:p>
        </w:tc>
        <w:tc>
          <w:tcPr>
            <w:tcW w:type="dxa" w:w="7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11111"/>
                <w:sz w:val="18"/>
                <w:szCs w:val="18"/>
              </w:rPr>
              <w:t xml:space="preserve">Override is recorded alongside the original model decision in the permanent case record. Both decisions are visible in the audit log. Model review team has been notified. Application status reflects the Compliance Officer's decision. The original model decision is preserved and never deleted.</w:t>
            </w:r>
          </w:p>
        </w:tc>
      </w:tr>
      <w:tr>
        <w:tc>
          <w:tcPr>
            <w:tcW w:type="dxa" w:w="1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top"/>
          </w:tcPr>
          <w:p>
            <w:r>
              <w:rPr>
                <w:rFonts w:ascii="Arial" w:cs="Arial" w:eastAsia="Arial" w:hAnsi="Arial"/>
                <w:b/>
                <w:bCs/>
                <w:color w:val="000000"/>
                <w:sz w:val="18"/>
                <w:szCs w:val="18"/>
              </w:rPr>
              <w:t xml:space="preserve">Related FRD</w:t>
            </w:r>
          </w:p>
        </w:tc>
        <w:tc>
          <w:tcPr>
            <w:tcW w:type="dxa" w:w="756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top"/>
          </w:tcPr>
          <w:p>
            <w:r>
              <w:rPr>
                <w:rFonts w:ascii="Arial" w:cs="Arial" w:eastAsia="Arial" w:hAnsi="Arial"/>
                <w:color w:val="111111"/>
                <w:sz w:val="18"/>
                <w:szCs w:val="18"/>
              </w:rPr>
              <w:t xml:space="preserve">FR-09 (audit log), FR-16 (model versioning), FDS-BRD-001 BR-02</w:t>
            </w:r>
          </w:p>
        </w:tc>
      </w:tr>
    </w:tbl>
    <w:p>
      <w:pPr>
        <w:spacing w:before="60" w:after="60"/>
      </w:pPr>
      <w:r>
        <w:t xml:space="preserve"/>
      </w:r>
    </w:p>
    <w:p>
      <w:pPr>
        <w:spacing w:before="280" w:after="100"/>
      </w:pPr>
      <w:r>
        <w:rPr>
          <w:rFonts w:ascii="Arial" w:cs="Arial" w:eastAsia="Arial" w:hAnsi="Arial"/>
          <w:b/>
          <w:bCs/>
          <w:color w:val="000000"/>
          <w:sz w:val="22"/>
          <w:szCs w:val="22"/>
        </w:rPr>
        <w:t xml:space="preserve">6.  Notes</w:t>
      </w:r>
    </w:p>
    <w:p>
      <w:pPr>
        <w:pStyle w:val="ListParagraph"/>
        <w:numPr>
          <w:ilvl w:val="0"/>
          <w:numId w:val="2"/>
        </w:numPr>
        <w:spacing w:before="40" w:after="40"/>
      </w:pPr>
      <w:r>
        <w:rPr>
          <w:rFonts w:ascii="Arial" w:cs="Arial" w:eastAsia="Arial" w:hAnsi="Arial"/>
          <w:color w:val="111111"/>
          <w:sz w:val="20"/>
          <w:szCs w:val="20"/>
        </w:rPr>
        <w:t xml:space="preserve">UC-06 (Generate Audit Log Entry) is an implicit include relationship from every other use case. It is not shown as a separate step within each use case flow but is understood to be triggered by every scoring, decision, and override event throughout the system.</w:t>
      </w:r>
    </w:p>
    <w:p>
      <w:pPr>
        <w:pStyle w:val="ListParagraph"/>
        <w:numPr>
          <w:ilvl w:val="0"/>
          <w:numId w:val="2"/>
        </w:numPr>
        <w:spacing w:before="40" w:after="40"/>
      </w:pPr>
      <w:r>
        <w:rPr>
          <w:rFonts w:ascii="Arial" w:cs="Arial" w:eastAsia="Arial" w:hAnsi="Arial"/>
          <w:color w:val="111111"/>
          <w:sz w:val="20"/>
          <w:szCs w:val="20"/>
        </w:rPr>
        <w:t xml:space="preserve">All internal actors (Risk Analyst, Compliance Officer, Head of Risk) are simulated in this solo project. Their interactions are represented through scripted UAT test cases defined in FDS-UAT-001.</w:t>
      </w:r>
    </w:p>
    <w:p>
      <w:pPr>
        <w:pStyle w:val="ListParagraph"/>
        <w:numPr>
          <w:ilvl w:val="0"/>
          <w:numId w:val="2"/>
        </w:numPr>
        <w:spacing w:before="40" w:after="40"/>
      </w:pPr>
      <w:r>
        <w:rPr>
          <w:rFonts w:ascii="Arial" w:cs="Arial" w:eastAsia="Arial" w:hAnsi="Arial"/>
          <w:color w:val="111111"/>
          <w:sz w:val="20"/>
          <w:szCs w:val="20"/>
        </w:rPr>
        <w:t xml:space="preserve">UC-07 (View Fraud Risk Dashboard) describes the intended production dashboard behaviour. In the solo project context this is partially implemented as a static Jupyter-based performance report; full dashboard functionality is deferred to a post-v1.0 enhancement.</w:t>
      </w:r>
    </w:p>
    <w:p>
      <w:pPr>
        <w:pStyle w:val="ListParagraph"/>
        <w:numPr>
          <w:ilvl w:val="0"/>
          <w:numId w:val="2"/>
        </w:numPr>
        <w:spacing w:before="40" w:after="40"/>
      </w:pPr>
      <w:r>
        <w:rPr>
          <w:rFonts w:ascii="Arial" w:cs="Arial" w:eastAsia="Arial" w:hAnsi="Arial"/>
          <w:color w:val="111111"/>
          <w:sz w:val="20"/>
          <w:szCs w:val="20"/>
        </w:rPr>
        <w:t xml:space="preserve">UC-08 (Override Model Decision) requires that the original model decision is always preserved alongside the override. This is a regulatory requirement — the model's output must be auditable regardless of whether it was subsequently overridden by a human.</w:t>
      </w:r>
    </w:p>
    <w:p>
      <w:pPr>
        <w:pStyle w:val="ListParagraph"/>
        <w:numPr>
          <w:ilvl w:val="0"/>
          <w:numId w:val="2"/>
        </w:numPr>
        <w:spacing w:before="40" w:after="40"/>
      </w:pPr>
      <w:r>
        <w:rPr>
          <w:rFonts w:ascii="Arial" w:cs="Arial" w:eastAsia="Arial" w:hAnsi="Arial"/>
          <w:color w:val="111111"/>
          <w:sz w:val="20"/>
          <w:szCs w:val="20"/>
        </w:rPr>
        <w:t xml:space="preserve">The precondition for UC-02 explicitly states that UC-05 must have passed. These two use cases are mutually exclusive for a given application: either UC-05 fires (blacklisted) or UC-02 fires (proceed to scoring). They never both execute on the same record.</w:t>
      </w:r>
    </w:p>
    <w:p>
      <w:pPr>
        <w:spacing w:before="60" w:after="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2026-03-20T08:11:28.302Z</dcterms:created>
  <dcterms:modified xsi:type="dcterms:W3CDTF">2026-03-20T08:11:28.303Z</dcterms:modified>
</cp:coreProperties>
</file>

<file path=docProps/custom.xml><?xml version="1.0" encoding="utf-8"?>
<Properties xmlns="http://schemas.openxmlformats.org/officeDocument/2006/custom-properties" xmlns:vt="http://schemas.openxmlformats.org/officeDocument/2006/docPropsVTypes"/>
</file>