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C97A2E"/>
          <w:spacing w:val="30"/>
          <w:sz w:val="18"/>
          <w:szCs w:val="18"/>
        </w:rPr>
        <w:t xml:space="preserve">E-COMMERCE CUSTOMER ANALYTICS</w:t>
      </w:r>
    </w:p>
    <w:p>
      <w:pPr>
        <w:spacing w:after="60"/>
      </w:pPr>
      <w:r>
        <w:rPr>
          <w:b/>
          <w:bCs/>
          <w:color w:val="1A3A53"/>
          <w:sz w:val="48"/>
          <w:szCs w:val="48"/>
        </w:rPr>
        <w:t xml:space="preserve">Customer Segmentation</w:t>
      </w:r>
    </w:p>
    <w:p>
      <w:pPr>
        <w:spacing w:after="300"/>
      </w:pPr>
      <w:r>
        <w:rPr>
          <w:color w:val="44607A"/>
          <w:sz w:val="32"/>
          <w:szCs w:val="32"/>
        </w:rPr>
        <w:t xml:space="preserve">Business Insights Report</w:t>
      </w:r>
    </w:p>
    <w:p>
      <w:pPr>
        <w:spacing w:after="160" w:line="276"/>
      </w:pPr>
      <w:r>
        <w:rPr>
          <w:color w:val="222222"/>
          <w:sz w:val="21"/>
          <w:szCs w:val="21"/>
        </w:rPr>
        <w:t xml:space="preserve">Prepared using K-Means clustering on demographic and behavioral data from a 2,500-customer e-commerce dataset. This report translates the clustering output into five actionable customer personas, revenue-concentration findings, and segment-specific strategy recommendations.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00"/>
            <w:shd w:fill="EEF3F6" w:val="clear"/>
            <w:tcMar>
              <w:top w:type="dxa" w:w="160"/>
              <w:left w:type="dxa" w:w="160"/>
              <w:bottom w:type="dxa" w:w="160"/>
              <w:right w:type="dxa" w:w="160"/>
            </w:tcMar>
          </w:tcPr>
          <w:p>
            <w:r>
              <w:rPr>
                <w:b/>
                <w:bCs/>
                <w:color w:val="1A3A53"/>
                <w:sz w:val="30"/>
                <w:szCs w:val="30"/>
              </w:rPr>
              <w:t xml:space="preserve">2,500</w:t>
            </w:r>
          </w:p>
          <w:p>
            <w:r>
              <w:rPr>
                <w:color w:val="44607A"/>
                <w:sz w:val="16"/>
                <w:szCs w:val="16"/>
              </w:rPr>
              <w:t xml:space="preserve">Customers Analyzed</w:t>
            </w:r>
          </w:p>
        </w:tc>
        <w:tc>
          <w:tcPr>
            <w:tcW w:type="dxa" w:w="2300"/>
            <w:shd w:fill="EEF3F6" w:val="clear"/>
            <w:tcMar>
              <w:top w:type="dxa" w:w="160"/>
              <w:left w:type="dxa" w:w="160"/>
              <w:bottom w:type="dxa" w:w="160"/>
              <w:right w:type="dxa" w:w="160"/>
            </w:tcMar>
          </w:tcPr>
          <w:p>
            <w:r>
              <w:rPr>
                <w:b/>
                <w:bCs/>
                <w:color w:val="1A3A53"/>
                <w:sz w:val="30"/>
                <w:szCs w:val="30"/>
              </w:rPr>
              <w:t xml:space="preserve">5</w:t>
            </w:r>
          </w:p>
          <w:p>
            <w:r>
              <w:rPr>
                <w:color w:val="44607A"/>
                <w:sz w:val="16"/>
                <w:szCs w:val="16"/>
              </w:rPr>
              <w:t xml:space="preserve">Segments Identified</w:t>
            </w:r>
          </w:p>
        </w:tc>
        <w:tc>
          <w:tcPr>
            <w:tcW w:type="dxa" w:w="2300"/>
            <w:shd w:fill="EEF3F6" w:val="clear"/>
            <w:tcMar>
              <w:top w:type="dxa" w:w="160"/>
              <w:left w:type="dxa" w:w="160"/>
              <w:bottom w:type="dxa" w:w="160"/>
              <w:right w:type="dxa" w:w="160"/>
            </w:tcMar>
          </w:tcPr>
          <w:p>
            <w:r>
              <w:rPr>
                <w:b/>
                <w:bCs/>
                <w:color w:val="1A3A53"/>
                <w:sz w:val="30"/>
                <w:szCs w:val="30"/>
              </w:rPr>
              <w:t xml:space="preserve">0.236</w:t>
            </w:r>
          </w:p>
          <w:p>
            <w:r>
              <w:rPr>
                <w:color w:val="44607A"/>
                <w:sz w:val="16"/>
                <w:szCs w:val="16"/>
              </w:rPr>
              <w:t xml:space="preserve">Silhouette Score</w:t>
            </w:r>
          </w:p>
        </w:tc>
        <w:tc>
          <w:tcPr>
            <w:tcW w:type="dxa" w:w="2300"/>
            <w:shd w:fill="EEF3F6" w:val="clear"/>
            <w:tcMar>
              <w:top w:type="dxa" w:w="160"/>
              <w:left w:type="dxa" w:w="160"/>
              <w:bottom w:type="dxa" w:w="160"/>
              <w:right w:type="dxa" w:w="160"/>
            </w:tcMar>
          </w:tcPr>
          <w:p>
            <w:r>
              <w:rPr>
                <w:b/>
                <w:bCs/>
                <w:color w:val="1A3A53"/>
                <w:sz w:val="30"/>
                <w:szCs w:val="30"/>
              </w:rPr>
              <w:t xml:space="preserve">61.3%</w:t>
            </w:r>
          </w:p>
          <w:p>
            <w:r>
              <w:rPr>
                <w:color w:val="44607A"/>
                <w:sz w:val="16"/>
                <w:szCs w:val="16"/>
              </w:rPr>
              <w:t xml:space="preserve">Top Segment Revenue Share</w:t>
            </w:r>
          </w:p>
        </w:tc>
      </w:tr>
    </w:tbl>
    <w:p>
      <w:r>
        <w:br w:type="page"/>
      </w:r>
    </w:p>
    <w:p>
      <w:pPr>
        <w:pStyle w:val="Heading1"/>
        <w:pBdr>
          <w:bottom w:val="single" w:color="C97A2E" w:sz="10" w:space="4"/>
        </w:pBdr>
        <w:spacing w:after="160" w:before="360"/>
      </w:pPr>
      <w:r>
        <w:rPr>
          <w:b/>
          <w:bCs/>
          <w:color w:val="1A3A53"/>
          <w:sz w:val="30"/>
          <w:szCs w:val="30"/>
        </w:rPr>
        <w:t xml:space="preserve">1. Executive Summary</w:t>
      </w:r>
    </w:p>
    <w:p>
      <w:pPr>
        <w:spacing w:after="160" w:line="276"/>
      </w:pPr>
      <w:r>
        <w:rPr>
          <w:color w:val="222222"/>
          <w:sz w:val="21"/>
          <w:szCs w:val="21"/>
        </w:rPr>
        <w:t xml:space="preserve">Clustering the customer base on purchase frequency, spend, recency, engagement, and discount behavior surfaces five distinct segments with very different economics. The headline finding: revenue is highly concentrated. Premium Loyalists make up just 17% of customers but generate 61.3% of total revenue — a 3.6x value index — while the largest segment by headcount, New &amp; Occasional Shoppers (23% of customers), contributes only 3.8% of revenue.</w:t>
      </w:r>
    </w:p>
    <w:p>
      <w:pPr>
        <w:spacing w:after="160" w:line="276"/>
      </w:pPr>
      <w:r>
        <w:rPr>
          <w:color w:val="222222"/>
          <w:sz w:val="21"/>
          <w:szCs w:val="21"/>
        </w:rPr>
        <w:t xml:space="preserve">This has direct implications for where retention, personalization, and CRM budget should be spent first. It also identifies a meaningful At-Risk segment (19.3% of customers, avg. 96.5 days since last purchase) that represents a concrete win-back opportunity rather than a lost cause.</w:t>
      </w:r>
    </w:p>
    <w:p>
      <w:pPr>
        <w:pStyle w:val="Heading1"/>
        <w:pBdr>
          <w:bottom w:val="single" w:color="C97A2E" w:sz="10" w:space="4"/>
        </w:pBdr>
        <w:spacing w:after="160" w:before="360"/>
      </w:pPr>
      <w:r>
        <w:rPr>
          <w:b/>
          <w:bCs/>
          <w:color w:val="1A3A53"/>
          <w:sz w:val="30"/>
          <w:szCs w:val="30"/>
        </w:rPr>
        <w:t xml:space="preserve">2. Methodology</w:t>
      </w:r>
    </w:p>
    <w:p>
      <w:pPr>
        <w:pStyle w:val="Heading2"/>
        <w:spacing w:after="120" w:before="260"/>
      </w:pPr>
      <w:r>
        <w:rPr>
          <w:b/>
          <w:bCs/>
          <w:color w:val="1A3A53"/>
          <w:sz w:val="24"/>
          <w:szCs w:val="24"/>
        </w:rPr>
        <w:t xml:space="preserve">2.1 Data</w:t>
      </w:r>
    </w:p>
    <w:p>
      <w:pPr>
        <w:spacing w:after="160" w:line="276"/>
      </w:pPr>
      <w:r>
        <w:rPr>
          <w:color w:val="222222"/>
          <w:sz w:val="21"/>
          <w:szCs w:val="21"/>
        </w:rPr>
        <w:t xml:space="preserve">A synthetic dataset of 2,500 customers was constructed with realistic demographic attributes (age, gender, income, city tier) and behavioral metrics (purchase frequency, average order value, recency, app engagement, discount usage, cart abandonment, return rate, satisfaction score).</w:t>
      </w:r>
    </w:p>
    <w:p>
      <w:pPr>
        <w:pStyle w:val="Heading2"/>
        <w:spacing w:after="120" w:before="260"/>
      </w:pPr>
      <w:r>
        <w:rPr>
          <w:b/>
          <w:bCs/>
          <w:color w:val="1A3A53"/>
          <w:sz w:val="24"/>
          <w:szCs w:val="24"/>
        </w:rPr>
        <w:t xml:space="preserve">2.2 Feature Engineering</w:t>
      </w:r>
    </w:p>
    <w:p>
      <w:pPr>
        <w:spacing w:after="160" w:line="276"/>
      </w:pPr>
      <w:r>
        <w:rPr>
          <w:color w:val="222222"/>
          <w:sz w:val="21"/>
          <w:szCs w:val="21"/>
        </w:rPr>
        <w:t xml:space="preserve">Behavioral features were framed using the RFM (Recency, Frequency, Monetary) marketing framework, extended with engagement and risk signals. All numeric features were standardized (zero mean, unit variance); categorical features (city tier, primary channel) were one-hot encoded.</w:t>
      </w:r>
    </w:p>
    <w:p>
      <w:pPr>
        <w:pStyle w:val="Heading2"/>
        <w:spacing w:after="120" w:before="260"/>
      </w:pPr>
      <w:r>
        <w:rPr>
          <w:b/>
          <w:bCs/>
          <w:color w:val="1A3A53"/>
          <w:sz w:val="24"/>
          <w:szCs w:val="24"/>
        </w:rPr>
        <w:t xml:space="preserve">2.3 Clustering</w:t>
      </w:r>
    </w:p>
    <w:p>
      <w:pPr>
        <w:spacing w:after="160" w:line="276"/>
      </w:pPr>
      <w:r>
        <w:rPr>
          <w:color w:val="222222"/>
          <w:sz w:val="21"/>
          <w:szCs w:val="21"/>
        </w:rPr>
        <w:t xml:space="preserve">K-Means was run for k = 2 through 10, evaluated via the elbow method (inertia) and silhouette score. k = 5 was selected as the point where the elbow flattens while keeping segments operationally interpretable for a marketing team. The final model achieved a silhouette score of 0.236 and a Davies-Bouldin index of 1.649.</w:t>
      </w:r>
    </w:p>
    <w:p>
      <w:pPr>
        <w:spacing w:after="200" w:before="120"/>
        <w:jc w:val="center"/>
      </w:pPr>
      <w:r>
        <w:drawing>
          <wp:inline distT="0" distB="0" distL="0" distR="0">
            <wp:extent cx="5800000" cy="20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0000" cy="2000000"/>
                    </a:xfrm>
                    <a:prstGeom prst="rect">
                      <a:avLst/>
                    </a:prstGeom>
                  </pic:spPr>
                </pic:pic>
              </a:graphicData>
            </a:graphic>
          </wp:inline>
        </w:drawing>
      </w:r>
    </w:p>
    <w:p>
      <w:r>
        <w:br w:type="page"/>
      </w:r>
    </w:p>
    <w:p>
      <w:pPr>
        <w:pStyle w:val="Heading1"/>
        <w:pBdr>
          <w:bottom w:val="single" w:color="C97A2E" w:sz="10" w:space="4"/>
        </w:pBdr>
        <w:spacing w:after="160" w:before="360"/>
      </w:pPr>
      <w:r>
        <w:rPr>
          <w:b/>
          <w:bCs/>
          <w:color w:val="1A3A53"/>
          <w:sz w:val="30"/>
          <w:szCs w:val="30"/>
        </w:rPr>
        <w:t xml:space="preserve">3. Segment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shd w:fill="1A3A53" w:val="clear"/>
            <w:tcMar>
              <w:top w:type="dxa" w:w="100"/>
              <w:left w:type="dxa" w:w="100"/>
              <w:bottom w:type="dxa" w:w="100"/>
              <w:right w:type="dxa" w:w="100"/>
            </w:tcMar>
          </w:tcPr>
          <w:p>
            <w:r>
              <w:rPr>
                <w:b/>
                <w:bCs/>
                <w:color w:val="FFFFFF"/>
                <w:sz w:val="16"/>
                <w:szCs w:val="16"/>
              </w:rPr>
              <w:t xml:space="preserve">Segment</w:t>
            </w:r>
          </w:p>
        </w:tc>
        <w:tc>
          <w:tcPr>
            <w:shd w:fill="1A3A53" w:val="clear"/>
            <w:tcMar>
              <w:top w:type="dxa" w:w="100"/>
              <w:left w:type="dxa" w:w="100"/>
              <w:bottom w:type="dxa" w:w="100"/>
              <w:right w:type="dxa" w:w="100"/>
            </w:tcMar>
          </w:tcPr>
          <w:p>
            <w:r>
              <w:rPr>
                <w:b/>
                <w:bCs/>
                <w:color w:val="FFFFFF"/>
                <w:sz w:val="16"/>
                <w:szCs w:val="16"/>
              </w:rPr>
              <w:t xml:space="preserve">% Customers</w:t>
            </w:r>
          </w:p>
        </w:tc>
        <w:tc>
          <w:tcPr>
            <w:shd w:fill="1A3A53" w:val="clear"/>
            <w:tcMar>
              <w:top w:type="dxa" w:w="100"/>
              <w:left w:type="dxa" w:w="100"/>
              <w:bottom w:type="dxa" w:w="100"/>
              <w:right w:type="dxa" w:w="100"/>
            </w:tcMar>
          </w:tcPr>
          <w:p>
            <w:r>
              <w:rPr>
                <w:b/>
                <w:bCs/>
                <w:color w:val="FFFFFF"/>
                <w:sz w:val="16"/>
                <w:szCs w:val="16"/>
              </w:rPr>
              <w:t xml:space="preserve">% Revenue</w:t>
            </w:r>
          </w:p>
        </w:tc>
        <w:tc>
          <w:tcPr>
            <w:shd w:fill="1A3A53" w:val="clear"/>
            <w:tcMar>
              <w:top w:type="dxa" w:w="100"/>
              <w:left w:type="dxa" w:w="100"/>
              <w:bottom w:type="dxa" w:w="100"/>
              <w:right w:type="dxa" w:w="100"/>
            </w:tcMar>
          </w:tcPr>
          <w:p>
            <w:r>
              <w:rPr>
                <w:b/>
                <w:bCs/>
                <w:color w:val="FFFFFF"/>
                <w:sz w:val="16"/>
                <w:szCs w:val="16"/>
              </w:rPr>
              <w:t xml:space="preserve">Avg. Spend (₹)</w:t>
            </w:r>
          </w:p>
        </w:tc>
        <w:tc>
          <w:tcPr>
            <w:shd w:fill="1A3A53" w:val="clear"/>
            <w:tcMar>
              <w:top w:type="dxa" w:w="100"/>
              <w:left w:type="dxa" w:w="100"/>
              <w:bottom w:type="dxa" w:w="100"/>
              <w:right w:type="dxa" w:w="100"/>
            </w:tcMar>
          </w:tcPr>
          <w:p>
            <w:r>
              <w:rPr>
                <w:b/>
                <w:bCs/>
                <w:color w:val="FFFFFF"/>
                <w:sz w:val="16"/>
                <w:szCs w:val="16"/>
              </w:rPr>
              <w:t xml:space="preserve">Value Index</w:t>
            </w:r>
          </w:p>
        </w:tc>
      </w:tr>
      <w:tr>
        <w:trPr>
          <w:cantSplit/>
        </w:trPr>
        <w:tc>
          <w:tcPr>
            <w:shd w:fill="EEF3F6" w:val="clear"/>
            <w:tcMar>
              <w:top w:type="dxa" w:w="90"/>
              <w:left w:type="dxa" w:w="100"/>
              <w:bottom w:type="dxa" w:w="90"/>
              <w:right w:type="dxa" w:w="100"/>
            </w:tcMar>
          </w:tcPr>
          <w:p>
            <w:r>
              <w:rPr>
                <w:color w:val="222222"/>
                <w:sz w:val="17"/>
                <w:szCs w:val="17"/>
              </w:rPr>
              <w:t xml:space="preserve">Premium Loyalists</w:t>
            </w:r>
          </w:p>
        </w:tc>
        <w:tc>
          <w:tcPr>
            <w:shd w:fill="EEF3F6" w:val="clear"/>
            <w:tcMar>
              <w:top w:type="dxa" w:w="90"/>
              <w:left w:type="dxa" w:w="100"/>
              <w:bottom w:type="dxa" w:w="90"/>
              <w:right w:type="dxa" w:w="100"/>
            </w:tcMar>
          </w:tcPr>
          <w:p>
            <w:r>
              <w:rPr>
                <w:color w:val="222222"/>
                <w:sz w:val="17"/>
                <w:szCs w:val="17"/>
              </w:rPr>
              <w:t xml:space="preserve">17.0%</w:t>
            </w:r>
          </w:p>
        </w:tc>
        <w:tc>
          <w:tcPr>
            <w:shd w:fill="EEF3F6" w:val="clear"/>
            <w:tcMar>
              <w:top w:type="dxa" w:w="90"/>
              <w:left w:type="dxa" w:w="100"/>
              <w:bottom w:type="dxa" w:w="90"/>
              <w:right w:type="dxa" w:w="100"/>
            </w:tcMar>
          </w:tcPr>
          <w:p>
            <w:r>
              <w:rPr>
                <w:color w:val="222222"/>
                <w:sz w:val="17"/>
                <w:szCs w:val="17"/>
              </w:rPr>
              <w:t xml:space="preserve">61.3%</w:t>
            </w:r>
          </w:p>
        </w:tc>
        <w:tc>
          <w:tcPr>
            <w:shd w:fill="EEF3F6" w:val="clear"/>
            <w:tcMar>
              <w:top w:type="dxa" w:w="90"/>
              <w:left w:type="dxa" w:w="100"/>
              <w:bottom w:type="dxa" w:w="90"/>
              <w:right w:type="dxa" w:w="100"/>
            </w:tcMar>
          </w:tcPr>
          <w:p>
            <w:r>
              <w:rPr>
                <w:color w:val="222222"/>
                <w:sz w:val="17"/>
                <w:szCs w:val="17"/>
              </w:rPr>
              <w:t xml:space="preserve">1,04,661</w:t>
            </w:r>
          </w:p>
        </w:tc>
        <w:tc>
          <w:tcPr>
            <w:shd w:fill="EEF3F6" w:val="clear"/>
            <w:tcMar>
              <w:top w:type="dxa" w:w="90"/>
              <w:left w:type="dxa" w:w="100"/>
              <w:bottom w:type="dxa" w:w="90"/>
              <w:right w:type="dxa" w:w="100"/>
            </w:tcMar>
          </w:tcPr>
          <w:p>
            <w:r>
              <w:rPr>
                <w:color w:val="222222"/>
                <w:sz w:val="17"/>
                <w:szCs w:val="17"/>
              </w:rPr>
              <w:t xml:space="preserve">3.60x</w:t>
            </w:r>
          </w:p>
        </w:tc>
      </w:tr>
      <w:tr>
        <w:trPr>
          <w:cantSplit/>
        </w:trPr>
        <w:tc>
          <w:tcPr>
            <w:tcMar>
              <w:top w:type="dxa" w:w="90"/>
              <w:left w:type="dxa" w:w="100"/>
              <w:bottom w:type="dxa" w:w="90"/>
              <w:right w:type="dxa" w:w="100"/>
            </w:tcMar>
          </w:tcPr>
          <w:p>
            <w:r>
              <w:rPr>
                <w:color w:val="222222"/>
                <w:sz w:val="17"/>
                <w:szCs w:val="17"/>
              </w:rPr>
              <w:t xml:space="preserve">Premium Browsers</w:t>
            </w:r>
          </w:p>
        </w:tc>
        <w:tc>
          <w:tcPr>
            <w:tcMar>
              <w:top w:type="dxa" w:w="90"/>
              <w:left w:type="dxa" w:w="100"/>
              <w:bottom w:type="dxa" w:w="90"/>
              <w:right w:type="dxa" w:w="100"/>
            </w:tcMar>
          </w:tcPr>
          <w:p>
            <w:r>
              <w:rPr>
                <w:color w:val="222222"/>
                <w:sz w:val="17"/>
                <w:szCs w:val="17"/>
              </w:rPr>
              <w:t xml:space="preserve">17.8%</w:t>
            </w:r>
          </w:p>
        </w:tc>
        <w:tc>
          <w:tcPr>
            <w:tcMar>
              <w:top w:type="dxa" w:w="90"/>
              <w:left w:type="dxa" w:w="100"/>
              <w:bottom w:type="dxa" w:w="90"/>
              <w:right w:type="dxa" w:w="100"/>
            </w:tcMar>
          </w:tcPr>
          <w:p>
            <w:r>
              <w:rPr>
                <w:color w:val="222222"/>
                <w:sz w:val="17"/>
                <w:szCs w:val="17"/>
              </w:rPr>
              <w:t xml:space="preserve">16.0%</w:t>
            </w:r>
          </w:p>
        </w:tc>
        <w:tc>
          <w:tcPr>
            <w:tcMar>
              <w:top w:type="dxa" w:w="90"/>
              <w:left w:type="dxa" w:w="100"/>
              <w:bottom w:type="dxa" w:w="90"/>
              <w:right w:type="dxa" w:w="100"/>
            </w:tcMar>
          </w:tcPr>
          <w:p>
            <w:r>
              <w:rPr>
                <w:color w:val="222222"/>
                <w:sz w:val="17"/>
                <w:szCs w:val="17"/>
              </w:rPr>
              <w:t xml:space="preserve">26,029</w:t>
            </w:r>
          </w:p>
        </w:tc>
        <w:tc>
          <w:tcPr>
            <w:tcMar>
              <w:top w:type="dxa" w:w="90"/>
              <w:left w:type="dxa" w:w="100"/>
              <w:bottom w:type="dxa" w:w="90"/>
              <w:right w:type="dxa" w:w="100"/>
            </w:tcMar>
          </w:tcPr>
          <w:p>
            <w:r>
              <w:rPr>
                <w:color w:val="222222"/>
                <w:sz w:val="17"/>
                <w:szCs w:val="17"/>
              </w:rPr>
              <w:t xml:space="preserve">0.90x</w:t>
            </w:r>
          </w:p>
        </w:tc>
      </w:tr>
      <w:tr>
        <w:trPr>
          <w:cantSplit/>
        </w:trPr>
        <w:tc>
          <w:tcPr>
            <w:shd w:fill="EEF3F6" w:val="clear"/>
            <w:tcMar>
              <w:top w:type="dxa" w:w="90"/>
              <w:left w:type="dxa" w:w="100"/>
              <w:bottom w:type="dxa" w:w="90"/>
              <w:right w:type="dxa" w:w="100"/>
            </w:tcMar>
          </w:tcPr>
          <w:p>
            <w:r>
              <w:rPr>
                <w:color w:val="222222"/>
                <w:sz w:val="17"/>
                <w:szCs w:val="17"/>
              </w:rPr>
              <w:t xml:space="preserve">Frequent Bargain Hunters</w:t>
            </w:r>
          </w:p>
        </w:tc>
        <w:tc>
          <w:tcPr>
            <w:shd w:fill="EEF3F6" w:val="clear"/>
            <w:tcMar>
              <w:top w:type="dxa" w:w="90"/>
              <w:left w:type="dxa" w:w="100"/>
              <w:bottom w:type="dxa" w:w="90"/>
              <w:right w:type="dxa" w:w="100"/>
            </w:tcMar>
          </w:tcPr>
          <w:p>
            <w:r>
              <w:rPr>
                <w:color w:val="222222"/>
                <w:sz w:val="17"/>
                <w:szCs w:val="17"/>
              </w:rPr>
              <w:t xml:space="preserve">22.8%</w:t>
            </w:r>
          </w:p>
        </w:tc>
        <w:tc>
          <w:tcPr>
            <w:shd w:fill="EEF3F6" w:val="clear"/>
            <w:tcMar>
              <w:top w:type="dxa" w:w="90"/>
              <w:left w:type="dxa" w:w="100"/>
              <w:bottom w:type="dxa" w:w="90"/>
              <w:right w:type="dxa" w:w="100"/>
            </w:tcMar>
          </w:tcPr>
          <w:p>
            <w:r>
              <w:rPr>
                <w:color w:val="222222"/>
                <w:sz w:val="17"/>
                <w:szCs w:val="17"/>
              </w:rPr>
              <w:t xml:space="preserve">12.9%</w:t>
            </w:r>
          </w:p>
        </w:tc>
        <w:tc>
          <w:tcPr>
            <w:shd w:fill="EEF3F6" w:val="clear"/>
            <w:tcMar>
              <w:top w:type="dxa" w:w="90"/>
              <w:left w:type="dxa" w:w="100"/>
              <w:bottom w:type="dxa" w:w="90"/>
              <w:right w:type="dxa" w:w="100"/>
            </w:tcMar>
          </w:tcPr>
          <w:p>
            <w:r>
              <w:rPr>
                <w:color w:val="222222"/>
                <w:sz w:val="17"/>
                <w:szCs w:val="17"/>
              </w:rPr>
              <w:t xml:space="preserve">16,417</w:t>
            </w:r>
          </w:p>
        </w:tc>
        <w:tc>
          <w:tcPr>
            <w:shd w:fill="EEF3F6" w:val="clear"/>
            <w:tcMar>
              <w:top w:type="dxa" w:w="90"/>
              <w:left w:type="dxa" w:w="100"/>
              <w:bottom w:type="dxa" w:w="90"/>
              <w:right w:type="dxa" w:w="100"/>
            </w:tcMar>
          </w:tcPr>
          <w:p>
            <w:r>
              <w:rPr>
                <w:color w:val="222222"/>
                <w:sz w:val="17"/>
                <w:szCs w:val="17"/>
              </w:rPr>
              <w:t xml:space="preserve">0.56x</w:t>
            </w:r>
          </w:p>
        </w:tc>
      </w:tr>
      <w:tr>
        <w:trPr>
          <w:cantSplit/>
        </w:trPr>
        <w:tc>
          <w:tcPr>
            <w:tcMar>
              <w:top w:type="dxa" w:w="90"/>
              <w:left w:type="dxa" w:w="100"/>
              <w:bottom w:type="dxa" w:w="90"/>
              <w:right w:type="dxa" w:w="100"/>
            </w:tcMar>
          </w:tcPr>
          <w:p>
            <w:r>
              <w:rPr>
                <w:color w:val="222222"/>
                <w:sz w:val="17"/>
                <w:szCs w:val="17"/>
              </w:rPr>
              <w:t xml:space="preserve">At-Risk / Churn-Prone</w:t>
            </w:r>
          </w:p>
        </w:tc>
        <w:tc>
          <w:tcPr>
            <w:tcMar>
              <w:top w:type="dxa" w:w="90"/>
              <w:left w:type="dxa" w:w="100"/>
              <w:bottom w:type="dxa" w:w="90"/>
              <w:right w:type="dxa" w:w="100"/>
            </w:tcMar>
          </w:tcPr>
          <w:p>
            <w:r>
              <w:rPr>
                <w:color w:val="222222"/>
                <w:sz w:val="17"/>
                <w:szCs w:val="17"/>
              </w:rPr>
              <w:t xml:space="preserve">19.3%</w:t>
            </w:r>
          </w:p>
        </w:tc>
        <w:tc>
          <w:tcPr>
            <w:tcMar>
              <w:top w:type="dxa" w:w="90"/>
              <w:left w:type="dxa" w:w="100"/>
              <w:bottom w:type="dxa" w:w="90"/>
              <w:right w:type="dxa" w:w="100"/>
            </w:tcMar>
          </w:tcPr>
          <w:p>
            <w:r>
              <w:rPr>
                <w:color w:val="222222"/>
                <w:sz w:val="17"/>
                <w:szCs w:val="17"/>
              </w:rPr>
              <w:t xml:space="preserve">6.1%</w:t>
            </w:r>
          </w:p>
        </w:tc>
        <w:tc>
          <w:tcPr>
            <w:tcMar>
              <w:top w:type="dxa" w:w="90"/>
              <w:left w:type="dxa" w:w="100"/>
              <w:bottom w:type="dxa" w:w="90"/>
              <w:right w:type="dxa" w:w="100"/>
            </w:tcMar>
          </w:tcPr>
          <w:p>
            <w:r>
              <w:rPr>
                <w:color w:val="222222"/>
                <w:sz w:val="17"/>
                <w:szCs w:val="17"/>
              </w:rPr>
              <w:t xml:space="preserve">9,162</w:t>
            </w:r>
          </w:p>
        </w:tc>
        <w:tc>
          <w:tcPr>
            <w:tcMar>
              <w:top w:type="dxa" w:w="90"/>
              <w:left w:type="dxa" w:w="100"/>
              <w:bottom w:type="dxa" w:w="90"/>
              <w:right w:type="dxa" w:w="100"/>
            </w:tcMar>
          </w:tcPr>
          <w:p>
            <w:r>
              <w:rPr>
                <w:color w:val="222222"/>
                <w:sz w:val="17"/>
                <w:szCs w:val="17"/>
              </w:rPr>
              <w:t xml:space="preserve">0.32x</w:t>
            </w:r>
          </w:p>
        </w:tc>
      </w:tr>
      <w:tr>
        <w:trPr>
          <w:cantSplit/>
        </w:trPr>
        <w:tc>
          <w:tcPr>
            <w:shd w:fill="EEF3F6" w:val="clear"/>
            <w:tcMar>
              <w:top w:type="dxa" w:w="90"/>
              <w:left w:type="dxa" w:w="100"/>
              <w:bottom w:type="dxa" w:w="90"/>
              <w:right w:type="dxa" w:w="100"/>
            </w:tcMar>
          </w:tcPr>
          <w:p>
            <w:r>
              <w:rPr>
                <w:color w:val="222222"/>
                <w:sz w:val="17"/>
                <w:szCs w:val="17"/>
              </w:rPr>
              <w:t xml:space="preserve">New &amp; Occasional Shoppers</w:t>
            </w:r>
          </w:p>
        </w:tc>
        <w:tc>
          <w:tcPr>
            <w:shd w:fill="EEF3F6" w:val="clear"/>
            <w:tcMar>
              <w:top w:type="dxa" w:w="90"/>
              <w:left w:type="dxa" w:w="100"/>
              <w:bottom w:type="dxa" w:w="90"/>
              <w:right w:type="dxa" w:w="100"/>
            </w:tcMar>
          </w:tcPr>
          <w:p>
            <w:r>
              <w:rPr>
                <w:color w:val="222222"/>
                <w:sz w:val="17"/>
                <w:szCs w:val="17"/>
              </w:rPr>
              <w:t xml:space="preserve">23.0%</w:t>
            </w:r>
          </w:p>
        </w:tc>
        <w:tc>
          <w:tcPr>
            <w:shd w:fill="EEF3F6" w:val="clear"/>
            <w:tcMar>
              <w:top w:type="dxa" w:w="90"/>
              <w:left w:type="dxa" w:w="100"/>
              <w:bottom w:type="dxa" w:w="90"/>
              <w:right w:type="dxa" w:w="100"/>
            </w:tcMar>
          </w:tcPr>
          <w:p>
            <w:r>
              <w:rPr>
                <w:color w:val="222222"/>
                <w:sz w:val="17"/>
                <w:szCs w:val="17"/>
              </w:rPr>
              <w:t xml:space="preserve">3.8%</w:t>
            </w:r>
          </w:p>
        </w:tc>
        <w:tc>
          <w:tcPr>
            <w:shd w:fill="EEF3F6" w:val="clear"/>
            <w:tcMar>
              <w:top w:type="dxa" w:w="90"/>
              <w:left w:type="dxa" w:w="100"/>
              <w:bottom w:type="dxa" w:w="90"/>
              <w:right w:type="dxa" w:w="100"/>
            </w:tcMar>
          </w:tcPr>
          <w:p>
            <w:r>
              <w:rPr>
                <w:color w:val="222222"/>
                <w:sz w:val="17"/>
                <w:szCs w:val="17"/>
              </w:rPr>
              <w:t xml:space="preserve">4,753</w:t>
            </w:r>
          </w:p>
        </w:tc>
        <w:tc>
          <w:tcPr>
            <w:shd w:fill="EEF3F6" w:val="clear"/>
            <w:tcMar>
              <w:top w:type="dxa" w:w="90"/>
              <w:left w:type="dxa" w:w="100"/>
              <w:bottom w:type="dxa" w:w="90"/>
              <w:right w:type="dxa" w:w="100"/>
            </w:tcMar>
          </w:tcPr>
          <w:p>
            <w:r>
              <w:rPr>
                <w:color w:val="222222"/>
                <w:sz w:val="17"/>
                <w:szCs w:val="17"/>
              </w:rPr>
              <w:t xml:space="preserve">0.16x</w:t>
            </w:r>
          </w:p>
        </w:tc>
      </w:tr>
    </w:tbl>
    <w:p>
      <w:r>
        <w:br w:type="page"/>
      </w:r>
    </w:p>
    <w:p>
      <w:pPr>
        <w:spacing w:after="200" w:before="120"/>
        <w:jc w:val="center"/>
      </w:pPr>
      <w:r>
        <w:drawing>
          <wp:inline distT="0" distB="0" distL="0" distR="0">
            <wp:extent cx="5800000" cy="45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0000" cy="4500000"/>
                    </a:xfrm>
                    <a:prstGeom prst="rect">
                      <a:avLst/>
                    </a:prstGeom>
                  </pic:spPr>
                </pic:pic>
              </a:graphicData>
            </a:graphic>
          </wp:inline>
        </w:drawing>
      </w:r>
    </w:p>
    <w:p>
      <w:pPr>
        <w:spacing w:after="200" w:before="120"/>
        <w:jc w:val="center"/>
      </w:pPr>
      <w:r>
        <w:drawing>
          <wp:inline distT="0" distB="0" distL="0" distR="0">
            <wp:extent cx="5800000" cy="2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0000" cy="2800000"/>
                    </a:xfrm>
                    <a:prstGeom prst="rect">
                      <a:avLst/>
                    </a:prstGeom>
                  </pic:spPr>
                </pic:pic>
              </a:graphicData>
            </a:graphic>
          </wp:inline>
        </w:drawing>
      </w:r>
    </w:p>
    <w:p>
      <w:r>
        <w:br w:type="page"/>
      </w:r>
    </w:p>
    <w:p>
      <w:pPr>
        <w:pStyle w:val="Heading1"/>
        <w:pBdr>
          <w:bottom w:val="single" w:color="C97A2E" w:sz="10" w:space="4"/>
        </w:pBdr>
        <w:spacing w:after="160" w:before="360"/>
      </w:pPr>
      <w:r>
        <w:rPr>
          <w:b/>
          <w:bCs/>
          <w:color w:val="1A3A53"/>
          <w:sz w:val="30"/>
          <w:szCs w:val="30"/>
        </w:rPr>
        <w:t xml:space="preserve">4. Segment Profiles &amp; Recommendations</w:t>
      </w:r>
    </w:p>
    <w:p>
      <w:pPr>
        <w:pStyle w:val="Heading2"/>
        <w:spacing w:after="120" w:before="260"/>
      </w:pPr>
      <w:r>
        <w:rPr>
          <w:b/>
          <w:bCs/>
          <w:color w:val="1A3A53"/>
          <w:sz w:val="24"/>
          <w:szCs w:val="24"/>
        </w:rPr>
        <w:t xml:space="preserve">4.1 Premium Loyalists — 17.0% of customers, 61.3% of revenue</w:t>
      </w:r>
    </w:p>
    <w:p>
      <w:pPr>
        <w:spacing w:after="160" w:line="276"/>
      </w:pPr>
      <w:r>
        <w:rPr>
          <w:color w:val="222222"/>
          <w:sz w:val="21"/>
          <w:szCs w:val="21"/>
        </w:rPr>
        <w:t xml:space="preserve">High spend, high frequency (27.7 purchases/yr), very recent activity (avg. 6 days), low discount reliance (12%), highest satisfaction (3.83/5).</w:t>
      </w:r>
    </w:p>
    <w:p>
      <w:pPr>
        <w:pStyle w:val="ListParagraph"/>
        <w:numPr>
          <w:ilvl w:val="0"/>
          <w:numId w:val="2"/>
        </w:numPr>
        <w:spacing w:after="90"/>
      </w:pPr>
      <w:r>
        <w:rPr>
          <w:color w:val="222222"/>
          <w:sz w:val="21"/>
          <w:szCs w:val="21"/>
        </w:rPr>
        <w:t xml:space="preserve">Protect this segment aggressively — it is the single most valuable group by a wide margin.</w:t>
      </w:r>
    </w:p>
    <w:p>
      <w:pPr>
        <w:pStyle w:val="ListParagraph"/>
        <w:numPr>
          <w:ilvl w:val="0"/>
          <w:numId w:val="2"/>
        </w:numPr>
        <w:spacing w:after="90"/>
      </w:pPr>
      <w:r>
        <w:rPr>
          <w:color w:val="222222"/>
          <w:sz w:val="21"/>
          <w:szCs w:val="21"/>
        </w:rPr>
        <w:t xml:space="preserve">Offer VIP tiering, early access to new arrivals, and referral incentives rather than blanket discounts, which would erode margin unnecessarily.</w:t>
      </w:r>
    </w:p>
    <w:p>
      <w:pPr>
        <w:pStyle w:val="ListParagraph"/>
        <w:numPr>
          <w:ilvl w:val="0"/>
          <w:numId w:val="2"/>
        </w:numPr>
        <w:spacing w:after="90"/>
      </w:pPr>
      <w:r>
        <w:rPr>
          <w:color w:val="222222"/>
          <w:sz w:val="21"/>
          <w:szCs w:val="21"/>
        </w:rPr>
        <w:t xml:space="preserve">Monitor for early churn signals (rising recency, falling sessions) since losing even a few of these customers has outsized revenue impact.</w:t>
      </w:r>
    </w:p>
    <w:p>
      <w:pPr>
        <w:pStyle w:val="Heading2"/>
        <w:spacing w:after="120" w:before="260"/>
      </w:pPr>
      <w:r>
        <w:rPr>
          <w:b/>
          <w:bCs/>
          <w:color w:val="1A3A53"/>
          <w:sz w:val="24"/>
          <w:szCs w:val="24"/>
        </w:rPr>
        <w:t xml:space="preserve">4.2 Premium Browsers — 17.8% of customers, 16.0% of revenue</w:t>
      </w:r>
    </w:p>
    <w:p>
      <w:pPr>
        <w:spacing w:after="160" w:line="276"/>
      </w:pPr>
      <w:r>
        <w:rPr>
          <w:color w:val="222222"/>
          <w:sz w:val="21"/>
          <w:szCs w:val="21"/>
        </w:rPr>
        <w:t xml:space="preserve">Highest income and average order value (₹5,222) but low purchase frequency (5.0/yr); older average age (40.7); lowest discount usage.</w:t>
      </w:r>
    </w:p>
    <w:p>
      <w:pPr>
        <w:pStyle w:val="ListParagraph"/>
        <w:numPr>
          <w:ilvl w:val="0"/>
          <w:numId w:val="2"/>
        </w:numPr>
        <w:spacing w:after="90"/>
      </w:pPr>
      <w:r>
        <w:rPr>
          <w:color w:val="222222"/>
          <w:sz w:val="21"/>
          <w:szCs w:val="21"/>
        </w:rPr>
        <w:t xml:space="preserve">Use curated, editorial-style content and high-touch personalization rather than volume discounting.</w:t>
      </w:r>
    </w:p>
    <w:p>
      <w:pPr>
        <w:pStyle w:val="ListParagraph"/>
        <w:numPr>
          <w:ilvl w:val="0"/>
          <w:numId w:val="2"/>
        </w:numPr>
        <w:spacing w:after="90"/>
      </w:pPr>
      <w:r>
        <w:rPr>
          <w:color w:val="222222"/>
          <w:sz w:val="21"/>
          <w:szCs w:val="21"/>
        </w:rPr>
        <w:t xml:space="preserve">Retarget with premium new arrivals and limited releases to convert browsing into purchase.</w:t>
      </w:r>
    </w:p>
    <w:p>
      <w:pPr>
        <w:pStyle w:val="ListParagraph"/>
        <w:numPr>
          <w:ilvl w:val="0"/>
          <w:numId w:val="2"/>
        </w:numPr>
        <w:spacing w:after="90"/>
      </w:pPr>
      <w:r>
        <w:rPr>
          <w:color w:val="222222"/>
          <w:sz w:val="21"/>
          <w:szCs w:val="21"/>
        </w:rPr>
        <w:t xml:space="preserve">Investigate the moderate satisfaction score (3.17) — likely tied to purchase friction rather than price sensitivity.</w:t>
      </w:r>
    </w:p>
    <w:p>
      <w:pPr>
        <w:pStyle w:val="Heading2"/>
        <w:spacing w:after="120" w:before="260"/>
      </w:pPr>
      <w:r>
        <w:rPr>
          <w:b/>
          <w:bCs/>
          <w:color w:val="1A3A53"/>
          <w:sz w:val="24"/>
          <w:szCs w:val="24"/>
        </w:rPr>
        <w:t xml:space="preserve">4.3 Frequent Bargain Hunters — 22.8% of customers, 12.9% of revenue</w:t>
      </w:r>
    </w:p>
    <w:p>
      <w:pPr>
        <w:spacing w:after="160" w:line="276"/>
      </w:pPr>
      <w:r>
        <w:rPr>
          <w:color w:val="222222"/>
          <w:sz w:val="21"/>
          <w:szCs w:val="21"/>
        </w:rPr>
        <w:t xml:space="preserve">Very high frequency (18.9/yr) and app engagement, but low average order value (₹865) and heavy discount reliance (69%).</w:t>
      </w:r>
    </w:p>
    <w:p>
      <w:pPr>
        <w:pStyle w:val="ListParagraph"/>
        <w:numPr>
          <w:ilvl w:val="0"/>
          <w:numId w:val="2"/>
        </w:numPr>
        <w:spacing w:after="90"/>
      </w:pPr>
      <w:r>
        <w:rPr>
          <w:color w:val="222222"/>
          <w:sz w:val="21"/>
          <w:szCs w:val="21"/>
        </w:rPr>
        <w:t xml:space="preserve">Introduce bundle offers and loyalty points that reward full-price purchases to gradually lift basket size.</w:t>
      </w:r>
    </w:p>
    <w:p>
      <w:pPr>
        <w:pStyle w:val="ListParagraph"/>
        <w:numPr>
          <w:ilvl w:val="0"/>
          <w:numId w:val="2"/>
        </w:numPr>
        <w:spacing w:after="90"/>
      </w:pPr>
      <w:r>
        <w:rPr>
          <w:color w:val="222222"/>
          <w:sz w:val="21"/>
          <w:szCs w:val="21"/>
        </w:rPr>
        <w:t xml:space="preserve">Cross-sell complementary categories to increase order value without relying solely on markdowns.</w:t>
      </w:r>
    </w:p>
    <w:p>
      <w:pPr>
        <w:pStyle w:val="ListParagraph"/>
        <w:numPr>
          <w:ilvl w:val="0"/>
          <w:numId w:val="2"/>
        </w:numPr>
        <w:spacing w:after="90"/>
      </w:pPr>
      <w:r>
        <w:rPr>
          <w:color w:val="222222"/>
          <w:sz w:val="21"/>
          <w:szCs w:val="21"/>
        </w:rPr>
        <w:t xml:space="preserve">Treat as a volume-and-engagement asset, not a margin driver — optimize for lifetime value, not per-order profit.</w:t>
      </w:r>
    </w:p>
    <w:p>
      <w:pPr>
        <w:pStyle w:val="Heading2"/>
        <w:spacing w:after="120" w:before="260"/>
      </w:pPr>
      <w:r>
        <w:rPr>
          <w:b/>
          <w:bCs/>
          <w:color w:val="1A3A53"/>
          <w:sz w:val="24"/>
          <w:szCs w:val="24"/>
        </w:rPr>
        <w:t xml:space="preserve">4.4 At-Risk / Churn-Prone — 19.3% of customers, 6.1% of revenue</w:t>
      </w:r>
    </w:p>
    <w:p>
      <w:pPr>
        <w:spacing w:after="160" w:line="276"/>
      </w:pPr>
      <w:r>
        <w:rPr>
          <w:color w:val="222222"/>
          <w:sz w:val="21"/>
          <w:szCs w:val="21"/>
        </w:rPr>
        <w:t xml:space="preserve">Longest recency (avg. 96.5 days since last purchase), lowest app engagement (3.0 sessions/month), below-average satisfaction (3.01).</w:t>
      </w:r>
    </w:p>
    <w:p>
      <w:pPr>
        <w:pStyle w:val="ListParagraph"/>
        <w:numPr>
          <w:ilvl w:val="0"/>
          <w:numId w:val="2"/>
        </w:numPr>
        <w:spacing w:after="90"/>
      </w:pPr>
      <w:r>
        <w:rPr>
          <w:color w:val="222222"/>
          <w:sz w:val="21"/>
          <w:szCs w:val="21"/>
        </w:rPr>
        <w:t xml:space="preserve">Launch a win-back campaign with personalized reactivation offers, prioritizing customers with previously high lifetime value.</w:t>
      </w:r>
    </w:p>
    <w:p>
      <w:pPr>
        <w:pStyle w:val="ListParagraph"/>
        <w:numPr>
          <w:ilvl w:val="0"/>
          <w:numId w:val="2"/>
        </w:numPr>
        <w:spacing w:after="90"/>
      </w:pPr>
      <w:r>
        <w:rPr>
          <w:color w:val="222222"/>
          <w:sz w:val="21"/>
          <w:szCs w:val="21"/>
        </w:rPr>
        <w:t xml:space="preserve">Deploy a short feedback survey to diagnose the specific reason for disengagement (price, assortment, service, competitor switch).</w:t>
      </w:r>
    </w:p>
    <w:p>
      <w:pPr>
        <w:pStyle w:val="ListParagraph"/>
        <w:numPr>
          <w:ilvl w:val="0"/>
          <w:numId w:val="2"/>
        </w:numPr>
        <w:spacing w:after="90"/>
      </w:pPr>
      <w:r>
        <w:rPr>
          <w:color w:val="222222"/>
          <w:sz w:val="21"/>
          <w:szCs w:val="21"/>
        </w:rPr>
        <w:t xml:space="preserve">Set a reactivation-rate KPI and track it as a leading indicator, since this segment overlaps with previously higher-value customers who are drifting away.</w:t>
      </w:r>
    </w:p>
    <w:p>
      <w:pPr>
        <w:pStyle w:val="Heading2"/>
        <w:spacing w:after="120" w:before="260"/>
      </w:pPr>
      <w:r>
        <w:rPr>
          <w:b/>
          <w:bCs/>
          <w:color w:val="1A3A53"/>
          <w:sz w:val="24"/>
          <w:szCs w:val="24"/>
        </w:rPr>
        <w:t xml:space="preserve">4.5 New &amp; Occasional Shoppers — 23.0% of customers, 3.8% of revenue</w:t>
      </w:r>
    </w:p>
    <w:p>
      <w:pPr>
        <w:spacing w:after="160" w:line="276"/>
      </w:pPr>
      <w:r>
        <w:rPr>
          <w:color w:val="222222"/>
          <w:sz w:val="21"/>
          <w:szCs w:val="21"/>
        </w:rPr>
        <w:t xml:space="preserve">Lowest tenure (0.56 yrs), lowest frequency (3.4/yr) and spend, youngest average age (26.2) — still in an exploratory phase with the brand.</w:t>
      </w:r>
    </w:p>
    <w:p>
      <w:pPr>
        <w:pStyle w:val="ListParagraph"/>
        <w:numPr>
          <w:ilvl w:val="0"/>
          <w:numId w:val="2"/>
        </w:numPr>
        <w:spacing w:after="90"/>
      </w:pPr>
      <w:r>
        <w:rPr>
          <w:color w:val="222222"/>
          <w:sz w:val="21"/>
          <w:szCs w:val="21"/>
        </w:rPr>
        <w:t xml:space="preserve">Build a structured onboarding journey with category-discovery nudges in the first 30–60 days.</w:t>
      </w:r>
    </w:p>
    <w:p>
      <w:pPr>
        <w:pStyle w:val="ListParagraph"/>
        <w:numPr>
          <w:ilvl w:val="0"/>
          <w:numId w:val="2"/>
        </w:numPr>
        <w:spacing w:after="90"/>
      </w:pPr>
      <w:r>
        <w:rPr>
          <w:color w:val="222222"/>
          <w:sz w:val="21"/>
          <w:szCs w:val="21"/>
        </w:rPr>
        <w:t xml:space="preserve">Offer a second-purchase incentive to move customers past the highest-risk early drop-off window.</w:t>
      </w:r>
    </w:p>
    <w:p>
      <w:pPr>
        <w:pStyle w:val="ListParagraph"/>
        <w:numPr>
          <w:ilvl w:val="0"/>
          <w:numId w:val="2"/>
        </w:numPr>
        <w:spacing w:after="90"/>
      </w:pPr>
      <w:r>
        <w:rPr>
          <w:color w:val="222222"/>
          <w:sz w:val="21"/>
          <w:szCs w:val="21"/>
        </w:rPr>
        <w:t xml:space="preserve">Track segment migration over time — the goal is graduation into Bargain Hunter or Loyalist, not permanent residency here.</w:t>
      </w:r>
    </w:p>
    <w:p>
      <w:r>
        <w:br w:type="page"/>
      </w:r>
    </w:p>
    <w:p>
      <w:pPr>
        <w:pStyle w:val="Heading1"/>
        <w:pBdr>
          <w:bottom w:val="single" w:color="C97A2E" w:sz="10" w:space="4"/>
        </w:pBdr>
        <w:spacing w:after="160" w:before="360"/>
      </w:pPr>
      <w:r>
        <w:rPr>
          <w:b/>
          <w:bCs/>
          <w:color w:val="1A3A53"/>
          <w:sz w:val="30"/>
          <w:szCs w:val="30"/>
        </w:rPr>
        <w:t xml:space="preserve">5. Key Takeaways</w:t>
      </w:r>
    </w:p>
    <w:p>
      <w:pPr>
        <w:pStyle w:val="ListParagraph"/>
        <w:numPr>
          <w:ilvl w:val="0"/>
          <w:numId w:val="2"/>
        </w:numPr>
        <w:spacing w:after="90"/>
      </w:pPr>
      <w:r>
        <w:rPr>
          <w:color w:val="222222"/>
          <w:sz w:val="21"/>
          <w:szCs w:val="21"/>
        </w:rPr>
        <w:t xml:space="preserve">Revenue is concentrated, not evenly distributed — a 3.6x value index for the top segment means retention spend should be prioritized there first.</w:t>
      </w:r>
    </w:p>
    <w:p>
      <w:pPr>
        <w:pStyle w:val="ListParagraph"/>
        <w:numPr>
          <w:ilvl w:val="0"/>
          <w:numId w:val="2"/>
        </w:numPr>
        <w:spacing w:after="90"/>
      </w:pPr>
      <w:r>
        <w:rPr>
          <w:color w:val="222222"/>
          <w:sz w:val="21"/>
          <w:szCs w:val="21"/>
        </w:rPr>
        <w:t xml:space="preserve">The At-Risk segment is a reactivation opportunity, not a lost cause: these were previously active, higher-frequency customers.</w:t>
      </w:r>
    </w:p>
    <w:p>
      <w:pPr>
        <w:pStyle w:val="ListParagraph"/>
        <w:numPr>
          <w:ilvl w:val="0"/>
          <w:numId w:val="2"/>
        </w:numPr>
        <w:spacing w:after="90"/>
      </w:pPr>
      <w:r>
        <w:rPr>
          <w:color w:val="222222"/>
          <w:sz w:val="21"/>
          <w:szCs w:val="21"/>
        </w:rPr>
        <w:t xml:space="preserve">Discount-driven volume (Bargain Hunters) and low-frequency premium spend (Premium Browsers) require opposite playbooks — one needs margin protection, the other needs frequency-building.</w:t>
      </w:r>
    </w:p>
    <w:p>
      <w:pPr>
        <w:pStyle w:val="ListParagraph"/>
        <w:numPr>
          <w:ilvl w:val="0"/>
          <w:numId w:val="2"/>
        </w:numPr>
        <w:spacing w:after="90"/>
      </w:pPr>
      <w:r>
        <w:rPr>
          <w:color w:val="222222"/>
          <w:sz w:val="21"/>
          <w:szCs w:val="21"/>
        </w:rPr>
        <w:t xml:space="preserve">Segments should be refreshed quarterly, since behavior drifts and a customer's segment membership is not permanent.</w:t>
      </w:r>
    </w:p>
    <w:p>
      <w:pPr>
        <w:pStyle w:val="Heading1"/>
        <w:pBdr>
          <w:bottom w:val="single" w:color="C97A2E" w:sz="10" w:space="4"/>
        </w:pBdr>
        <w:spacing w:after="160" w:before="360"/>
      </w:pPr>
      <w:r>
        <w:rPr>
          <w:b/>
          <w:bCs/>
          <w:color w:val="1A3A53"/>
          <w:sz w:val="30"/>
          <w:szCs w:val="30"/>
        </w:rPr>
        <w:t xml:space="preserve">6. Next Steps</w:t>
      </w:r>
    </w:p>
    <w:p>
      <w:pPr>
        <w:pStyle w:val="ListParagraph"/>
        <w:numPr>
          <w:ilvl w:val="0"/>
          <w:numId w:val="2"/>
        </w:numPr>
        <w:spacing w:after="90"/>
      </w:pPr>
      <w:r>
        <w:rPr>
          <w:color w:val="222222"/>
          <w:sz w:val="21"/>
          <w:szCs w:val="21"/>
        </w:rPr>
        <w:t xml:space="preserve">Feed the cluster/persona label into the CRM and ad platforms as a custom audience field.</w:t>
      </w:r>
    </w:p>
    <w:p>
      <w:pPr>
        <w:pStyle w:val="ListParagraph"/>
        <w:numPr>
          <w:ilvl w:val="0"/>
          <w:numId w:val="2"/>
        </w:numPr>
        <w:spacing w:after="90"/>
      </w:pPr>
      <w:r>
        <w:rPr>
          <w:color w:val="222222"/>
          <w:sz w:val="21"/>
          <w:szCs w:val="21"/>
        </w:rPr>
        <w:t xml:space="preserve">A/B test segment-specific campaigns against a control group and measure incremental lift, not just response rate.</w:t>
      </w:r>
    </w:p>
    <w:p>
      <w:pPr>
        <w:pStyle w:val="ListParagraph"/>
        <w:numPr>
          <w:ilvl w:val="0"/>
          <w:numId w:val="2"/>
        </w:numPr>
        <w:spacing w:after="90"/>
      </w:pPr>
      <w:r>
        <w:rPr>
          <w:color w:val="222222"/>
          <w:sz w:val="21"/>
          <w:szCs w:val="21"/>
        </w:rPr>
        <w:t xml:space="preserve">Track segment migration (e.g., Bargain Hunter → Premium Loyalist) as a formal loyalty-program KPI.</w:t>
      </w:r>
    </w:p>
    <w:p>
      <w:pPr>
        <w:pStyle w:val="ListParagraph"/>
        <w:numPr>
          <w:ilvl w:val="0"/>
          <w:numId w:val="2"/>
        </w:numPr>
        <w:spacing w:after="90"/>
      </w:pPr>
      <w:r>
        <w:rPr>
          <w:color w:val="222222"/>
          <w:sz w:val="21"/>
          <w:szCs w:val="21"/>
        </w:rPr>
        <w:t xml:space="preserve">Extend the feature set with product-level affinity data if/when available, to support segment-specific merchandising.</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607A"/>
        <w:sz w:val="14"/>
        <w:szCs w:val="14"/>
      </w:rPr>
      <w:t xml:space="preserve">Page </w:t>
    </w:r>
    <w:r>
      <w:rPr>
        <w:color w:val="44607A"/>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4607A"/>
        <w:sz w:val="14"/>
        <w:szCs w:val="14"/>
      </w:rPr>
      <w:t xml:space="preserve">Customer Segmentation — Business Insights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d3d6eb0480573095de5fba6323eda5993b8fbd3.png"/><Relationship Id="rId10" Type="http://schemas.openxmlformats.org/officeDocument/2006/relationships/image" Target="media/7194d1c6a376734106aa49a674ce6ef3ebf3a2e3.png"/><Relationship Id="rId11" Type="http://schemas.openxmlformats.org/officeDocument/2006/relationships/image" Target="media/f15ff86b86ac3bbcee7a9bc83b66415954608f1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2026-07-09T10:14:36.418Z</dcterms:created>
  <dcterms:modified xsi:type="dcterms:W3CDTF">2026-07-09T10:14:36.419Z</dcterms:modified>
</cp:coreProperties>
</file>

<file path=docProps/custom.xml><?xml version="1.0" encoding="utf-8"?>
<Properties xmlns="http://schemas.openxmlformats.org/officeDocument/2006/custom-properties" xmlns:vt="http://schemas.openxmlformats.org/officeDocument/2006/docPropsVTypes"/>
</file>