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highlight w:val="white"/>
          <w:rtl w:val="0"/>
        </w:rPr>
        <w:t xml:space="preserve">Implement</w:t>
      </w:r>
      <w:r w:rsidDel="00000000" w:rsidR="00000000" w:rsidRPr="00000000">
        <w:rPr>
          <w:rFonts w:ascii="Roboto" w:cs="Roboto" w:eastAsia="Roboto" w:hAnsi="Roboto"/>
          <w:b w:val="1"/>
          <w:sz w:val="20"/>
          <w:szCs w:val="2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Decision Tree classifier models to perform supervised classification and evaluate model performance.</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Software Used: </w:t>
      </w:r>
      <w:r w:rsidDel="00000000" w:rsidR="00000000" w:rsidRPr="00000000">
        <w:rPr>
          <w:rFonts w:ascii="Times New Roman" w:cs="Times New Roman" w:eastAsia="Times New Roman" w:hAnsi="Times New Roman"/>
          <w:sz w:val="24"/>
          <w:szCs w:val="24"/>
          <w:highlight w:val="white"/>
          <w:rtl w:val="0"/>
        </w:rPr>
        <w:t xml:space="preserve">Google Collaborative Python</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Theory:</w:t>
      </w:r>
    </w:p>
    <w:p w:rsidR="00000000" w:rsidDel="00000000" w:rsidP="00000000" w:rsidRDefault="00000000" w:rsidRPr="00000000" w14:paraId="0000000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 Tree: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decision tree is a supervised learning algorithm used for both classification and regression tasks. It has a hierarchical tree structure which consists of a root node, branches, internal nodes and leaf nodes. It It works like a flowchart help to make decisions step by step where: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Internal nodes represent attribute tests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Branches represent attribute values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Leaf nodes represent final decisions or predictions.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trees are widely used due to their interpretability, flexibility and low preprocessing needs.</w:t>
      </w:r>
    </w:p>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Does a Decision Tree Work?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decision tree splits the dataset based on feature values to create pure subsets, ideally all items in a group belong to the same class. Each leaf node of the tree corresponds to a class label and the internal nodes are feature-based decision points. Let’s understand this with an example.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309241"/>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924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Information Gain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Information Gain tells us how useful a question (or feature) is for splitting data into groups. It measures how much the uncertainty decreases after the split. A good question will create clearer groups and the feature with the highest Information Gain is chosen to make the decision.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if we split a dataset of people into "Young" and "Old" based on age and all young people bought the product while all old people did not, the Information Gain would be high because the split perfectly separates the two groups with no uncertainty left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Suppose S is a set of instances A is an attribute, Sv is the subset of S v represents an individual value that the attribute A can take and Values (A) is the set of all possible values of Athen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76775" cy="361950"/>
            <wp:effectExtent b="0" l="0" r="0" t="0"/>
            <wp:docPr id="21"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46767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Entropy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Entropy is the measure of uncertainty of a random variable; it characterizes the impurity of an arbitrary collection of examples. The higher the entropy the more the information content.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if a dataset has an equal number of "Yes" and "No" outcomes (like 3 people who bought a product and 3 who didn’t), the entropy is high because it’s uncertain which outcome to predict. But if all the outcomes are the same (all "Yes" or all "No") the entropy is 0 meaning there is no uncertainty left in predicting the outcome</w:t>
      </w:r>
    </w:p>
    <w:p w:rsidR="00000000" w:rsidDel="00000000" w:rsidP="00000000" w:rsidRDefault="00000000" w:rsidRPr="00000000" w14:paraId="00000017">
      <w:pPr>
        <w:pBdr>
          <w:top w:color="auto" w:space="1" w:sz="0" w:val="none"/>
          <w:left w:color="auto" w:space="1" w:sz="0" w:val="none"/>
          <w:bottom w:color="auto" w:space="1" w:sz="0" w:val="none"/>
          <w:right w:color="auto" w:space="1" w:sz="0" w:val="none"/>
          <w:between w:color="auto" w:space="1" w:sz="0" w:val="none"/>
        </w:pBdr>
        <w:shd w:fill="ffffff" w:val="clear"/>
        <w:spacing w:after="160" w:line="28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Suppose S is a set of instances, A is an attribute, Sv is the subset of S with A= v and Values (A) is the set of all possible values of A, then </w:t>
      </w:r>
    </w:p>
    <w:p w:rsidR="00000000" w:rsidDel="00000000" w:rsidP="00000000" w:rsidRDefault="00000000" w:rsidRPr="00000000" w14:paraId="00000018">
      <w:pPr>
        <w:pBdr>
          <w:top w:color="auto" w:space="1" w:sz="0" w:val="none"/>
          <w:left w:color="auto" w:space="1" w:sz="0" w:val="none"/>
          <w:bottom w:color="auto" w:space="1" w:sz="0" w:val="none"/>
          <w:right w:color="auto" w:space="1" w:sz="0" w:val="none"/>
          <w:between w:color="auto" w:space="1" w:sz="0" w:val="none"/>
        </w:pBdr>
        <w:shd w:fill="ffffff" w:val="clear"/>
        <w:spacing w:after="160" w:line="28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10200" cy="409575"/>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410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Trees are easy to </w:t>
      </w:r>
      <w:r w:rsidDel="00000000" w:rsidR="00000000" w:rsidRPr="00000000">
        <w:rPr>
          <w:rFonts w:ascii="Times New Roman" w:cs="Times New Roman" w:eastAsia="Times New Roman" w:hAnsi="Times New Roman"/>
          <w:b w:val="1"/>
          <w:sz w:val="24"/>
          <w:szCs w:val="24"/>
          <w:highlight w:val="white"/>
          <w:rtl w:val="0"/>
        </w:rPr>
        <w:t xml:space="preserve">interpret</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visualize</w:t>
      </w:r>
      <w:r w:rsidDel="00000000" w:rsidR="00000000" w:rsidRPr="00000000">
        <w:rPr>
          <w:rFonts w:ascii="Times New Roman" w:cs="Times New Roman" w:eastAsia="Times New Roman" w:hAnsi="Times New Roman"/>
          <w:sz w:val="24"/>
          <w:szCs w:val="24"/>
          <w:highlight w:val="white"/>
          <w:rtl w:val="0"/>
        </w:rPr>
        <w:t xml:space="preserve">, making them useful for understanding decision-making processes. They can handle both </w:t>
      </w:r>
      <w:r w:rsidDel="00000000" w:rsidR="00000000" w:rsidRPr="00000000">
        <w:rPr>
          <w:rFonts w:ascii="Times New Roman" w:cs="Times New Roman" w:eastAsia="Times New Roman" w:hAnsi="Times New Roman"/>
          <w:b w:val="1"/>
          <w:sz w:val="24"/>
          <w:szCs w:val="24"/>
          <w:highlight w:val="white"/>
          <w:rtl w:val="0"/>
        </w:rPr>
        <w:t xml:space="preserve">categorical</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numerical</w:t>
      </w:r>
      <w:r w:rsidDel="00000000" w:rsidR="00000000" w:rsidRPr="00000000">
        <w:rPr>
          <w:rFonts w:ascii="Times New Roman" w:cs="Times New Roman" w:eastAsia="Times New Roman" w:hAnsi="Times New Roman"/>
          <w:sz w:val="24"/>
          <w:szCs w:val="24"/>
          <w:highlight w:val="white"/>
          <w:rtl w:val="0"/>
        </w:rPr>
        <w:t xml:space="preserve"> data and do not require feature scaling. However, they are prone to </w:t>
      </w:r>
      <w:r w:rsidDel="00000000" w:rsidR="00000000" w:rsidRPr="00000000">
        <w:rPr>
          <w:rFonts w:ascii="Times New Roman" w:cs="Times New Roman" w:eastAsia="Times New Roman" w:hAnsi="Times New Roman"/>
          <w:b w:val="1"/>
          <w:sz w:val="24"/>
          <w:szCs w:val="24"/>
          <w:highlight w:val="white"/>
          <w:rtl w:val="0"/>
        </w:rPr>
        <w:t xml:space="preserve">overfitting</w:t>
      </w:r>
      <w:r w:rsidDel="00000000" w:rsidR="00000000" w:rsidRPr="00000000">
        <w:rPr>
          <w:rFonts w:ascii="Times New Roman" w:cs="Times New Roman" w:eastAsia="Times New Roman" w:hAnsi="Times New Roman"/>
          <w:sz w:val="24"/>
          <w:szCs w:val="24"/>
          <w:highlight w:val="white"/>
          <w:rtl w:val="0"/>
        </w:rPr>
        <w:t xml:space="preserve">, which can be addressed through techniques like </w:t>
      </w:r>
      <w:r w:rsidDel="00000000" w:rsidR="00000000" w:rsidRPr="00000000">
        <w:rPr>
          <w:rFonts w:ascii="Times New Roman" w:cs="Times New Roman" w:eastAsia="Times New Roman" w:hAnsi="Times New Roman"/>
          <w:b w:val="1"/>
          <w:sz w:val="24"/>
          <w:szCs w:val="24"/>
          <w:highlight w:val="white"/>
          <w:rtl w:val="0"/>
        </w:rPr>
        <w:t xml:space="preserve">pruning</w:t>
      </w:r>
      <w:r w:rsidDel="00000000" w:rsidR="00000000" w:rsidRPr="00000000">
        <w:rPr>
          <w:rFonts w:ascii="Times New Roman" w:cs="Times New Roman" w:eastAsia="Times New Roman" w:hAnsi="Times New Roman"/>
          <w:sz w:val="24"/>
          <w:szCs w:val="24"/>
          <w:highlight w:val="white"/>
          <w:rtl w:val="0"/>
        </w:rPr>
        <w:t xml:space="preserve"> or using </w:t>
      </w:r>
      <w:r w:rsidDel="00000000" w:rsidR="00000000" w:rsidRPr="00000000">
        <w:rPr>
          <w:rFonts w:ascii="Times New Roman" w:cs="Times New Roman" w:eastAsia="Times New Roman" w:hAnsi="Times New Roman"/>
          <w:b w:val="1"/>
          <w:sz w:val="24"/>
          <w:szCs w:val="24"/>
          <w:highlight w:val="white"/>
          <w:rtl w:val="0"/>
        </w:rPr>
        <w:t xml:space="preserve">ensemble methods</w:t>
      </w:r>
      <w:r w:rsidDel="00000000" w:rsidR="00000000" w:rsidRPr="00000000">
        <w:rPr>
          <w:rFonts w:ascii="Times New Roman" w:cs="Times New Roman" w:eastAsia="Times New Roman" w:hAnsi="Times New Roman"/>
          <w:sz w:val="24"/>
          <w:szCs w:val="24"/>
          <w:highlight w:val="white"/>
          <w:rtl w:val="0"/>
        </w:rPr>
        <w:t xml:space="preserve"> (e.g., Random Forest).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Nunito" w:cs="Nunito" w:eastAsia="Nunito" w:hAnsi="Nunito"/>
          <w:b w:val="1"/>
          <w:color w:val="273239"/>
          <w:sz w:val="27"/>
          <w:szCs w:val="27"/>
          <w:highlight w:val="white"/>
        </w:rPr>
      </w:pPr>
      <w:r w:rsidDel="00000000" w:rsidR="00000000" w:rsidRPr="00000000">
        <w:rPr>
          <w:rFonts w:ascii="Times New Roman" w:cs="Times New Roman" w:eastAsia="Times New Roman" w:hAnsi="Times New Roman"/>
          <w:sz w:val="24"/>
          <w:szCs w:val="24"/>
          <w:highlight w:val="white"/>
          <w:rtl w:val="0"/>
        </w:rPr>
        <w:t xml:space="preserve">Model performance is evaluated using metrics such as </w:t>
      </w:r>
      <w:r w:rsidDel="00000000" w:rsidR="00000000" w:rsidRPr="00000000">
        <w:rPr>
          <w:rFonts w:ascii="Times New Roman" w:cs="Times New Roman" w:eastAsia="Times New Roman" w:hAnsi="Times New Roman"/>
          <w:b w:val="1"/>
          <w:sz w:val="24"/>
          <w:szCs w:val="24"/>
          <w:highlight w:val="white"/>
          <w:rtl w:val="0"/>
        </w:rPr>
        <w:t xml:space="preserve">accuracy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precision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recall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F1-score</w:t>
      </w:r>
      <w:r w:rsidDel="00000000" w:rsidR="00000000" w:rsidRPr="00000000">
        <w:rPr>
          <w:rFonts w:ascii="Times New Roman" w:cs="Times New Roman" w:eastAsia="Times New Roman" w:hAnsi="Times New Roman"/>
          <w:sz w:val="24"/>
          <w:szCs w:val="24"/>
          <w:highlight w:val="white"/>
          <w:rtl w:val="0"/>
        </w:rPr>
        <w:t xml:space="preserve">, and the </w:t>
      </w:r>
      <w:r w:rsidDel="00000000" w:rsidR="00000000" w:rsidRPr="00000000">
        <w:rPr>
          <w:rFonts w:ascii="Times New Roman" w:cs="Times New Roman" w:eastAsia="Times New Roman" w:hAnsi="Times New Roman"/>
          <w:b w:val="1"/>
          <w:sz w:val="24"/>
          <w:szCs w:val="24"/>
          <w:highlight w:val="white"/>
          <w:rtl w:val="0"/>
        </w:rPr>
        <w:t xml:space="preserve">confusion matrix</w:t>
      </w:r>
      <w:r w:rsidDel="00000000" w:rsidR="00000000" w:rsidRPr="00000000">
        <w:rPr>
          <w:rFonts w:ascii="Times New Roman" w:cs="Times New Roman" w:eastAsia="Times New Roman" w:hAnsi="Times New Roman"/>
          <w:sz w:val="24"/>
          <w:szCs w:val="24"/>
          <w:highlight w:val="white"/>
          <w:rtl w:val="0"/>
        </w:rPr>
        <w:t xml:space="preserve">, depending on the classification problem.</w:t>
      </w:r>
      <w:r w:rsidDel="00000000" w:rsidR="00000000" w:rsidRPr="00000000">
        <w:rPr>
          <w:rtl w:val="0"/>
        </w:rPr>
      </w:r>
    </w:p>
    <w:p w:rsidR="00000000" w:rsidDel="00000000" w:rsidP="00000000" w:rsidRDefault="00000000" w:rsidRPr="00000000" w14:paraId="0000001B">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1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1)titanic.csv</w:t>
      </w:r>
    </w:p>
    <w:p w:rsidR="00000000" w:rsidDel="00000000" w:rsidP="00000000" w:rsidRDefault="00000000" w:rsidRPr="00000000" w14:paraId="0000001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1287624"/>
            <wp:effectExtent b="0" l="0" r="0" t="0"/>
            <wp:docPr id="27"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943600" cy="128762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457825" cy="1371247"/>
            <wp:effectExtent b="0" l="0" r="0" t="0"/>
            <wp:docPr id="1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457825" cy="137124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457325" cy="1914525"/>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457325" cy="1914525"/>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947863" cy="1931698"/>
            <wp:effectExtent b="0" l="0" r="0" t="0"/>
            <wp:docPr id="1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47863" cy="193169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700338" cy="2090584"/>
            <wp:effectExtent b="0" l="0" r="0" t="0"/>
            <wp:docPr id="1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700338" cy="2090584"/>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932049" cy="2042908"/>
            <wp:effectExtent b="0" l="0" r="0" t="0"/>
            <wp:docPr id="24"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932049" cy="204290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248275" cy="1304925"/>
            <wp:effectExtent b="0" l="0" r="0" t="0"/>
            <wp:docPr id="20"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2482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199861" cy="3031610"/>
            <wp:effectExtent b="0" l="0" r="0" t="0"/>
            <wp:docPr id="22"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2199861" cy="3031610"/>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366838" cy="3036554"/>
            <wp:effectExtent b="0" l="0" r="0" t="0"/>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366838" cy="303655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752850" cy="914958"/>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752850" cy="91495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200400" cy="884281"/>
            <wp:effectExtent b="0" l="0" r="0" t="0"/>
            <wp:docPr id="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200400" cy="88428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362450" cy="1590675"/>
            <wp:effectExtent b="0" l="0" r="0" t="0"/>
            <wp:docPr id="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3624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428875" cy="561975"/>
            <wp:effectExtent b="0" l="0" r="0" t="0"/>
            <wp:docPr id="1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4288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276600" cy="1276350"/>
            <wp:effectExtent b="0" l="0" r="0" t="0"/>
            <wp:docPr id="26"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32766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847975" cy="1657350"/>
            <wp:effectExtent b="0" l="0" r="0" t="0"/>
            <wp:docPr id="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8479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505450" cy="4200525"/>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5054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2)company.csv</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24325" cy="1962150"/>
            <wp:effectExtent b="0" l="0" r="0" t="0"/>
            <wp:docPr id="2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41243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857375" cy="1704975"/>
            <wp:effectExtent b="0" l="0" r="0" t="0"/>
            <wp:docPr id="1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8573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448175" cy="3352800"/>
            <wp:effectExtent b="0" l="0" r="0" t="0"/>
            <wp:docPr id="28"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44481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371975" cy="1885950"/>
            <wp:effectExtent b="0" l="0" r="0" t="0"/>
            <wp:docPr id="14"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3719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857375" cy="1895475"/>
            <wp:effectExtent b="0" l="0" r="0" t="0"/>
            <wp:docPr id="25"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18573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43450" cy="3324225"/>
            <wp:effectExtent b="0" l="0" r="0" t="0"/>
            <wp:docPr id="19"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47434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343275" cy="619125"/>
            <wp:effectExtent b="0" l="0" r="0" t="0"/>
            <wp:docPr id="2"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3432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28925" cy="1695450"/>
            <wp:effectExtent b="0" l="0" r="0" t="0"/>
            <wp:docPr id="12"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8289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95925" cy="4143375"/>
            <wp:effectExtent b="0" l="0" r="0" t="0"/>
            <wp:docPr id="7"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4959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 </w:t>
      </w:r>
      <w:r w:rsidDel="00000000" w:rsidR="00000000" w:rsidRPr="00000000">
        <w:rPr>
          <w:rFonts w:ascii="Times New Roman" w:cs="Times New Roman" w:eastAsia="Times New Roman" w:hAnsi="Times New Roman"/>
          <w:sz w:val="24"/>
          <w:szCs w:val="24"/>
          <w:highlight w:val="white"/>
          <w:rtl w:val="0"/>
        </w:rPr>
        <w:t xml:space="preserve">Hence, through this experiment, we learned how to implement a Decision Tree Classifier to perform supervised classification, train it on given datasets, and evaluate its performance</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3.png"/><Relationship Id="rId21" Type="http://schemas.openxmlformats.org/officeDocument/2006/relationships/image" Target="media/image7.png"/><Relationship Id="rId24" Type="http://schemas.openxmlformats.org/officeDocument/2006/relationships/image" Target="media/image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2.png"/><Relationship Id="rId25" Type="http://schemas.openxmlformats.org/officeDocument/2006/relationships/image" Target="media/image21.png"/><Relationship Id="rId28" Type="http://schemas.openxmlformats.org/officeDocument/2006/relationships/image" Target="media/image12.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5.png"/><Relationship Id="rId7" Type="http://schemas.openxmlformats.org/officeDocument/2006/relationships/image" Target="media/image28.png"/><Relationship Id="rId8" Type="http://schemas.openxmlformats.org/officeDocument/2006/relationships/image" Target="media/image18.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11.png"/><Relationship Id="rId33" Type="http://schemas.openxmlformats.org/officeDocument/2006/relationships/image" Target="media/image4.png"/><Relationship Id="rId10" Type="http://schemas.openxmlformats.org/officeDocument/2006/relationships/image" Target="media/image16.png"/><Relationship Id="rId32"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9.png"/><Relationship Id="rId15" Type="http://schemas.openxmlformats.org/officeDocument/2006/relationships/image" Target="media/image26.png"/><Relationship Id="rId14" Type="http://schemas.openxmlformats.org/officeDocument/2006/relationships/image" Target="media/image24.png"/><Relationship Id="rId17" Type="http://schemas.openxmlformats.org/officeDocument/2006/relationships/image" Target="media/image14.png"/><Relationship Id="rId16" Type="http://schemas.openxmlformats.org/officeDocument/2006/relationships/image" Target="media/image20.png"/><Relationship Id="rId19" Type="http://schemas.openxmlformats.org/officeDocument/2006/relationships/image" Target="media/image19.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