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2D4E" w14:textId="0807F872" w:rsidR="003A5143" w:rsidRDefault="00F33904" w:rsidP="005B690D">
      <w:pPr>
        <w:jc w:val="both"/>
      </w:pPr>
      <w:r>
        <w:t>4</w:t>
      </w:r>
      <w:r w:rsidR="00A131D3">
        <w:t xml:space="preserve">. </w:t>
      </w:r>
      <w:r w:rsidR="007975D0">
        <w:t>Modelling</w:t>
      </w:r>
    </w:p>
    <w:p w14:paraId="6E1E2B1F" w14:textId="16693A34" w:rsidR="007975D0" w:rsidRDefault="007975D0" w:rsidP="005B690D">
      <w:pPr>
        <w:jc w:val="both"/>
      </w:pPr>
    </w:p>
    <w:p w14:paraId="3F8F2E84" w14:textId="4295A41F" w:rsidR="00EB71AD" w:rsidRDefault="007975D0" w:rsidP="005B690D">
      <w:pPr>
        <w:jc w:val="both"/>
      </w:pPr>
      <w:r>
        <w:t>The base model consisted of all the features available in the dataset.</w:t>
      </w:r>
      <w:r w:rsidR="00560A58">
        <w:t xml:space="preserve"> This model is a Linear-Model with no interaction between the features.</w:t>
      </w:r>
      <w:r>
        <w:t xml:space="preserve"> The included features in this model were: </w:t>
      </w:r>
      <w:r w:rsidR="00491604" w:rsidRPr="003A4D4A">
        <w:rPr>
          <w:b/>
          <w:bCs/>
          <w:i/>
          <w:iCs/>
        </w:rPr>
        <w:t xml:space="preserve">Population, BMI, </w:t>
      </w:r>
      <w:r w:rsidR="00B42EA0" w:rsidRPr="003A4D4A">
        <w:rPr>
          <w:b/>
          <w:bCs/>
          <w:i/>
          <w:iCs/>
        </w:rPr>
        <w:t xml:space="preserve">Year, Total Expenditure (on </w:t>
      </w:r>
      <w:r w:rsidR="003927CD" w:rsidRPr="003A4D4A">
        <w:rPr>
          <w:b/>
          <w:bCs/>
          <w:i/>
          <w:iCs/>
        </w:rPr>
        <w:t>healthcare</w:t>
      </w:r>
      <w:r w:rsidR="00B42EA0" w:rsidRPr="003A4D4A">
        <w:rPr>
          <w:b/>
          <w:bCs/>
          <w:i/>
          <w:iCs/>
        </w:rPr>
        <w:t xml:space="preserve">), </w:t>
      </w:r>
      <w:r w:rsidR="002B47AA" w:rsidRPr="003A4D4A">
        <w:rPr>
          <w:b/>
          <w:bCs/>
          <w:i/>
          <w:iCs/>
        </w:rPr>
        <w:t xml:space="preserve">Continent, Polio, Diphtheria, </w:t>
      </w:r>
      <w:r w:rsidR="00A16A0A" w:rsidRPr="003A4D4A">
        <w:rPr>
          <w:b/>
          <w:bCs/>
          <w:i/>
          <w:iCs/>
        </w:rPr>
        <w:t>Status</w:t>
      </w:r>
      <w:r w:rsidR="000211C9" w:rsidRPr="003A4D4A">
        <w:rPr>
          <w:b/>
          <w:bCs/>
          <w:i/>
          <w:iCs/>
        </w:rPr>
        <w:t>,</w:t>
      </w:r>
      <w:r w:rsidR="009653CF" w:rsidRPr="003A4D4A">
        <w:rPr>
          <w:b/>
          <w:bCs/>
          <w:i/>
          <w:iCs/>
        </w:rPr>
        <w:t xml:space="preserve"> </w:t>
      </w:r>
      <w:r w:rsidR="009653CF" w:rsidRPr="003A4D4A">
        <w:t>and</w:t>
      </w:r>
      <w:r w:rsidR="000211C9" w:rsidRPr="003A4D4A">
        <w:rPr>
          <w:b/>
          <w:bCs/>
          <w:i/>
          <w:iCs/>
        </w:rPr>
        <w:t xml:space="preserve"> Schooling</w:t>
      </w:r>
      <w:r w:rsidR="00491604">
        <w:t>.</w:t>
      </w:r>
      <w:r>
        <w:t xml:space="preserve"> The purpose of this model was to get a picture of how all the features affected Life Expectancy, or whether they affected the Life Expectancy at all. The features with lower values of co-</w:t>
      </w:r>
      <w:proofErr w:type="spellStart"/>
      <w:r>
        <w:t>efficient</w:t>
      </w:r>
      <w:r w:rsidR="00560A58">
        <w:t>s</w:t>
      </w:r>
      <w:proofErr w:type="spellEnd"/>
      <w:r>
        <w:t xml:space="preserve"> were </w:t>
      </w:r>
      <w:r w:rsidR="00560A58">
        <w:t>eliminated from further analysis. As these features have little to no effect on the Life Expectancy. The features eliminated</w:t>
      </w:r>
      <w:r w:rsidR="00AE0EF2">
        <w:t>,</w:t>
      </w:r>
      <w:r w:rsidR="00560A58">
        <w:t xml:space="preserve"> </w:t>
      </w:r>
      <w:proofErr w:type="gramStart"/>
      <w:r w:rsidR="00560A58">
        <w:t>on the basis of</w:t>
      </w:r>
      <w:proofErr w:type="gramEnd"/>
      <w:r w:rsidR="00560A58">
        <w:t xml:space="preserve"> the</w:t>
      </w:r>
      <w:r w:rsidR="00825B23">
        <w:t>ir</w:t>
      </w:r>
      <w:r w:rsidR="00560A58">
        <w:t xml:space="preserve"> co-</w:t>
      </w:r>
      <w:proofErr w:type="spellStart"/>
      <w:r w:rsidR="00560A58">
        <w:t>efficients</w:t>
      </w:r>
      <w:proofErr w:type="spellEnd"/>
      <w:r w:rsidR="00560A58">
        <w:t xml:space="preserve"> in the model</w:t>
      </w:r>
      <w:r w:rsidR="00AE0EF2">
        <w:t>,</w:t>
      </w:r>
      <w:r w:rsidR="00560A58">
        <w:t xml:space="preserve"> were </w:t>
      </w:r>
      <w:r w:rsidR="00560A58" w:rsidRPr="00480E28">
        <w:rPr>
          <w:b/>
          <w:bCs/>
          <w:i/>
          <w:iCs/>
        </w:rPr>
        <w:t xml:space="preserve">Population, </w:t>
      </w:r>
      <w:r w:rsidR="00AA192F" w:rsidRPr="00480E28">
        <w:rPr>
          <w:b/>
          <w:bCs/>
          <w:i/>
          <w:iCs/>
        </w:rPr>
        <w:t>Year</w:t>
      </w:r>
      <w:r w:rsidR="00AA192F">
        <w:t xml:space="preserve">. Another feature was eliminated </w:t>
      </w:r>
      <w:proofErr w:type="gramStart"/>
      <w:r w:rsidR="00AA192F">
        <w:t>i.e.</w:t>
      </w:r>
      <w:proofErr w:type="gramEnd"/>
      <w:r w:rsidR="00AA192F">
        <w:t xml:space="preserve"> </w:t>
      </w:r>
      <w:r w:rsidR="00AA192F" w:rsidRPr="00275EB7">
        <w:rPr>
          <w:b/>
          <w:bCs/>
          <w:i/>
          <w:iCs/>
        </w:rPr>
        <w:t>BMI</w:t>
      </w:r>
      <w:r w:rsidR="00AA192F">
        <w:t xml:space="preserve"> on the basis of having a large amount of </w:t>
      </w:r>
      <w:r w:rsidR="00560DE9">
        <w:t>null values, which affected the overall predictive power of the model.</w:t>
      </w:r>
      <w:r w:rsidR="00EB52E6">
        <w:t xml:space="preserve"> </w:t>
      </w:r>
      <w:r w:rsidR="00EB52E6" w:rsidRPr="009A6CCA">
        <w:rPr>
          <w:highlight w:val="yellow"/>
        </w:rPr>
        <w:t>Popu</w:t>
      </w:r>
      <w:r w:rsidR="009A6CCA" w:rsidRPr="009A6CCA">
        <w:rPr>
          <w:highlight w:val="yellow"/>
        </w:rPr>
        <w:t xml:space="preserve">lation </w:t>
      </w:r>
      <w:proofErr w:type="gramStart"/>
      <w:r w:rsidR="009A6CCA" w:rsidRPr="009A6CCA">
        <w:rPr>
          <w:highlight w:val="yellow"/>
        </w:rPr>
        <w:t>reason ?</w:t>
      </w:r>
      <w:proofErr w:type="gramEnd"/>
      <w:r w:rsidR="009A6CCA">
        <w:t xml:space="preserve"> </w:t>
      </w:r>
      <w:r w:rsidR="0077564F">
        <w:t xml:space="preserve">The reason the Year is not such a good predictor </w:t>
      </w:r>
      <w:r w:rsidR="006C7E7F">
        <w:t>could be</w:t>
      </w:r>
      <w:r w:rsidR="0077564F">
        <w:t xml:space="preserve"> that</w:t>
      </w:r>
      <w:r w:rsidR="006C7E7F">
        <w:t>, even though the Life Expectancy is increasing as the yea</w:t>
      </w:r>
      <w:r w:rsidR="00BE4F07">
        <w:t xml:space="preserve">rs go by, but </w:t>
      </w:r>
      <w:r w:rsidR="007B512A">
        <w:t xml:space="preserve">there are a lot of underlying factors at play. Hence there is much more to the story </w:t>
      </w:r>
      <w:r w:rsidR="009C3A0A">
        <w:t>rather than just Life Expectancy simple increas</w:t>
      </w:r>
      <w:r w:rsidR="00E813FB">
        <w:t>ing</w:t>
      </w:r>
      <w:r w:rsidR="009C3A0A">
        <w:t xml:space="preserve"> by the years.</w:t>
      </w:r>
      <w:r w:rsidR="00EB71AD">
        <w:t xml:space="preserve"> Diphtheria was also removed from the final </w:t>
      </w:r>
      <w:r w:rsidR="00733798">
        <w:t xml:space="preserve">model as </w:t>
      </w:r>
      <w:r w:rsidR="003033D1">
        <w:t>it is highly correlated with Polio (r=0.7).</w:t>
      </w:r>
    </w:p>
    <w:p w14:paraId="385A42A7" w14:textId="79BBCBF8" w:rsidR="00FE008B" w:rsidRDefault="00FE008B" w:rsidP="005B690D">
      <w:pPr>
        <w:jc w:val="both"/>
      </w:pPr>
    </w:p>
    <w:p w14:paraId="348CD7FD" w14:textId="430A6C24" w:rsidR="00FE008B" w:rsidRDefault="00FE008B" w:rsidP="005B690D">
      <w:pPr>
        <w:jc w:val="both"/>
      </w:pPr>
      <w:r>
        <w:t xml:space="preserve">After eliminating the above-mentioned features, different combinations of models with interaction between different </w:t>
      </w:r>
      <w:r w:rsidR="00AA5309">
        <w:t xml:space="preserve">features was tried. </w:t>
      </w:r>
      <w:r w:rsidR="003E4DB8">
        <w:t>Based on the lowest AIC score amongst these models, the model</w:t>
      </w:r>
      <w:r w:rsidR="0030585C">
        <w:t xml:space="preserve"> </w:t>
      </w:r>
      <w:r w:rsidR="003E4DB8">
        <w:t>selecte</w:t>
      </w:r>
      <w:r w:rsidR="004355CB">
        <w:t>d</w:t>
      </w:r>
      <w:r w:rsidR="0030585C">
        <w:t xml:space="preserve"> was</w:t>
      </w:r>
      <w:r w:rsidR="00134F66">
        <w:t xml:space="preserve"> with p</w:t>
      </w:r>
      <w:r w:rsidR="0030585C">
        <w:t>redictors</w:t>
      </w:r>
      <w:r w:rsidR="00EF7842">
        <w:t xml:space="preserve">: </w:t>
      </w:r>
      <w:r w:rsidR="0080354F" w:rsidRPr="00E10A78">
        <w:rPr>
          <w:b/>
          <w:bCs/>
          <w:i/>
          <w:iCs/>
        </w:rPr>
        <w:t>Polio, Total Expenditure, Schooling, Continent</w:t>
      </w:r>
      <w:r w:rsidR="00032DD7" w:rsidRPr="00E10A78">
        <w:rPr>
          <w:b/>
          <w:bCs/>
          <w:i/>
          <w:iCs/>
        </w:rPr>
        <w:t>,</w:t>
      </w:r>
      <w:r w:rsidR="00EF7842" w:rsidRPr="00E10A78">
        <w:rPr>
          <w:b/>
          <w:bCs/>
          <w:i/>
          <w:iCs/>
        </w:rPr>
        <w:t xml:space="preserve"> Continent * Total Expenditure, Continent * Schooling</w:t>
      </w:r>
      <w:r w:rsidR="00F53AA3">
        <w:t xml:space="preserve"> … (</w:t>
      </w:r>
      <w:r w:rsidR="00F53AA3" w:rsidRPr="00E24181">
        <w:rPr>
          <w:i/>
          <w:iCs/>
        </w:rPr>
        <w:t xml:space="preserve">where x1 * x2 signifies interaction between </w:t>
      </w:r>
      <w:r w:rsidR="009E20C7" w:rsidRPr="00E24181">
        <w:rPr>
          <w:i/>
          <w:iCs/>
        </w:rPr>
        <w:t xml:space="preserve">features </w:t>
      </w:r>
      <w:r w:rsidR="00F53AA3" w:rsidRPr="00E24181">
        <w:rPr>
          <w:i/>
          <w:iCs/>
        </w:rPr>
        <w:t>x1 and x2</w:t>
      </w:r>
      <w:r w:rsidR="00F53AA3">
        <w:t>)</w:t>
      </w:r>
      <w:r w:rsidR="00ED7FB7">
        <w:t xml:space="preserve">. </w:t>
      </w:r>
      <w:r w:rsidR="00B16E07">
        <w:t xml:space="preserve">The r-squared score for this model was </w:t>
      </w:r>
      <w:r w:rsidR="00FC4145">
        <w:t xml:space="preserve">0.75, which indicates that this model is a good enough model for the purpose of predicting Life Expectancy. </w:t>
      </w:r>
      <w:r w:rsidR="00BE4533">
        <w:t xml:space="preserve">The included interactions are </w:t>
      </w:r>
      <w:r w:rsidR="00760576">
        <w:t xml:space="preserve">essential as they are self-explanatory. </w:t>
      </w:r>
      <w:r w:rsidR="006F08A6" w:rsidRPr="009A1CE5">
        <w:rPr>
          <w:b/>
          <w:bCs/>
          <w:i/>
          <w:iCs/>
        </w:rPr>
        <w:t>Continent</w:t>
      </w:r>
      <w:r w:rsidR="006F08A6">
        <w:t xml:space="preserve"> </w:t>
      </w:r>
      <w:r w:rsidR="00A92871">
        <w:t>provides</w:t>
      </w:r>
      <w:r w:rsidR="006F1623">
        <w:t xml:space="preserve"> us with </w:t>
      </w:r>
      <w:r w:rsidR="00DF60FE">
        <w:t>a generalized sense of how</w:t>
      </w:r>
      <w:r w:rsidR="00982A86">
        <w:t xml:space="preserve"> other factors affect</w:t>
      </w:r>
      <w:r w:rsidR="00DF60FE">
        <w:t xml:space="preserve"> </w:t>
      </w:r>
      <w:r w:rsidR="006F1623">
        <w:t>Life Ex</w:t>
      </w:r>
      <w:r w:rsidR="00DF60FE">
        <w:t xml:space="preserve">pectancy </w:t>
      </w:r>
      <w:r w:rsidR="007B7A65">
        <w:t xml:space="preserve">and how they </w:t>
      </w:r>
      <w:r w:rsidR="00DF60FE">
        <w:t>var</w:t>
      </w:r>
      <w:r w:rsidR="007B7A65">
        <w:t>y</w:t>
      </w:r>
      <w:r w:rsidR="00DF60FE">
        <w:t xml:space="preserve"> geographically.</w:t>
      </w:r>
      <w:r w:rsidR="005217AB">
        <w:t xml:space="preserve"> This is extremely important to our analysis as </w:t>
      </w:r>
      <w:r w:rsidR="00135DD1">
        <w:t xml:space="preserve">earlier we saw that the </w:t>
      </w:r>
      <w:r w:rsidR="00135DD1" w:rsidRPr="00135DD1">
        <w:rPr>
          <w:b/>
          <w:bCs/>
          <w:i/>
          <w:iCs/>
        </w:rPr>
        <w:t xml:space="preserve">Total Expenditure </w:t>
      </w:r>
      <w:r w:rsidR="00135DD1">
        <w:t xml:space="preserve">varied by each </w:t>
      </w:r>
      <w:r w:rsidR="00135DD1" w:rsidRPr="009A1CE5">
        <w:rPr>
          <w:b/>
          <w:bCs/>
          <w:i/>
          <w:iCs/>
        </w:rPr>
        <w:t>Continent</w:t>
      </w:r>
      <w:r w:rsidR="00135DD1">
        <w:t>, and</w:t>
      </w:r>
      <w:r w:rsidR="00624547">
        <w:t xml:space="preserve"> the effect of </w:t>
      </w:r>
      <w:r w:rsidR="00624547" w:rsidRPr="00135DD1">
        <w:rPr>
          <w:b/>
          <w:bCs/>
          <w:i/>
          <w:iCs/>
        </w:rPr>
        <w:t>Total Expenditure</w:t>
      </w:r>
      <w:r w:rsidR="008068A5">
        <w:t xml:space="preserve"> on </w:t>
      </w:r>
      <w:r w:rsidR="008068A5" w:rsidRPr="008068A5">
        <w:rPr>
          <w:b/>
          <w:bCs/>
          <w:i/>
          <w:iCs/>
        </w:rPr>
        <w:t>Life Expenditure</w:t>
      </w:r>
      <w:r w:rsidR="008068A5">
        <w:t xml:space="preserve"> </w:t>
      </w:r>
      <w:r w:rsidR="00624547">
        <w:t xml:space="preserve">was different for each </w:t>
      </w:r>
      <w:r w:rsidR="004F7D79" w:rsidRPr="009A1CE5">
        <w:rPr>
          <w:b/>
          <w:bCs/>
          <w:i/>
          <w:iCs/>
        </w:rPr>
        <w:t>Continent</w:t>
      </w:r>
      <w:r w:rsidR="004F7D79">
        <w:rPr>
          <w:b/>
          <w:bCs/>
          <w:i/>
          <w:iCs/>
        </w:rPr>
        <w:t>.</w:t>
      </w:r>
      <w:r w:rsidR="008068A5">
        <w:t xml:space="preserve"> </w:t>
      </w:r>
      <w:r w:rsidR="0054485B">
        <w:t>Hence the interaction term between them bolsters the model predictive power. Apart from this Schooling is a very important feature</w:t>
      </w:r>
      <w:r w:rsidR="00CB4AD2">
        <w:t xml:space="preserve"> as it is very highly correlated with </w:t>
      </w:r>
      <w:r w:rsidR="00CB4AD2" w:rsidRPr="00350C0A">
        <w:rPr>
          <w:b/>
          <w:bCs/>
          <w:i/>
          <w:iCs/>
        </w:rPr>
        <w:t xml:space="preserve">Life </w:t>
      </w:r>
      <w:r w:rsidR="00B30AA9" w:rsidRPr="00350C0A">
        <w:rPr>
          <w:b/>
          <w:bCs/>
          <w:i/>
          <w:iCs/>
        </w:rPr>
        <w:t>Expectancy</w:t>
      </w:r>
      <w:r w:rsidR="00350C0A">
        <w:t>.</w:t>
      </w:r>
      <w:r w:rsidR="0054485B">
        <w:t xml:space="preserve"> </w:t>
      </w:r>
      <w:r w:rsidR="00CB4AD2" w:rsidRPr="00BF68B1">
        <w:rPr>
          <w:b/>
          <w:bCs/>
          <w:i/>
          <w:iCs/>
        </w:rPr>
        <w:t>Schooling</w:t>
      </w:r>
      <w:r w:rsidR="00CB4AD2">
        <w:t xml:space="preserve"> </w:t>
      </w:r>
      <w:r w:rsidR="00FB2E9E">
        <w:t xml:space="preserve">again varies by each </w:t>
      </w:r>
      <w:r w:rsidR="00492B5C" w:rsidRPr="00492B5C">
        <w:rPr>
          <w:b/>
          <w:bCs/>
          <w:i/>
          <w:iCs/>
        </w:rPr>
        <w:t>Continent</w:t>
      </w:r>
      <w:r w:rsidR="00492B5C">
        <w:t>;</w:t>
      </w:r>
      <w:r w:rsidR="00FB2E9E">
        <w:t xml:space="preserve"> this is mostly based on the fact if the country is </w:t>
      </w:r>
      <w:r w:rsidR="006F2634">
        <w:t xml:space="preserve">Developing or Developed. As we saw for countries with higher </w:t>
      </w:r>
      <w:r w:rsidR="00CB4AD2">
        <w:t>Schooling, the Life Expectancy was higher as well</w:t>
      </w:r>
      <w:r w:rsidR="004B3A84">
        <w:t xml:space="preserve">, and these were mainly Developed nations, however some of the </w:t>
      </w:r>
      <w:r w:rsidR="00E15F96">
        <w:t xml:space="preserve">Developing countries were a part of this bracket as well. This further </w:t>
      </w:r>
      <w:r w:rsidR="00531003">
        <w:t>affirms</w:t>
      </w:r>
      <w:r w:rsidR="00E15F96">
        <w:t xml:space="preserve"> the </w:t>
      </w:r>
      <w:r w:rsidR="00531003">
        <w:t xml:space="preserve">strong </w:t>
      </w:r>
      <w:r w:rsidR="00E15F96">
        <w:t xml:space="preserve">effect </w:t>
      </w:r>
      <w:r w:rsidR="00531003">
        <w:t xml:space="preserve">of the years of </w:t>
      </w:r>
      <w:r w:rsidR="00531003" w:rsidRPr="00531003">
        <w:rPr>
          <w:b/>
          <w:bCs/>
          <w:i/>
          <w:iCs/>
        </w:rPr>
        <w:t>Schooling</w:t>
      </w:r>
      <w:r w:rsidR="00E15F96">
        <w:t xml:space="preserve"> </w:t>
      </w:r>
      <w:r w:rsidR="00531003">
        <w:t xml:space="preserve">on the overall </w:t>
      </w:r>
      <w:r w:rsidR="00531003" w:rsidRPr="00531003">
        <w:rPr>
          <w:b/>
          <w:bCs/>
          <w:i/>
          <w:iCs/>
        </w:rPr>
        <w:t>Life Expectancy</w:t>
      </w:r>
      <w:r w:rsidR="00EF387C">
        <w:rPr>
          <w:b/>
          <w:bCs/>
          <w:i/>
          <w:iCs/>
        </w:rPr>
        <w:t>.</w:t>
      </w:r>
      <w:r w:rsidR="00EF387C">
        <w:t xml:space="preserve"> And </w:t>
      </w:r>
      <w:r w:rsidR="00EF387C" w:rsidRPr="0052401B">
        <w:rPr>
          <w:b/>
          <w:bCs/>
          <w:i/>
          <w:iCs/>
        </w:rPr>
        <w:t>Schooling</w:t>
      </w:r>
      <w:r w:rsidR="00EF387C">
        <w:t xml:space="preserve"> was different for countries based in </w:t>
      </w:r>
      <w:r w:rsidR="00B75342">
        <w:t xml:space="preserve">different continents, for instance, there was a divide in the years of education </w:t>
      </w:r>
      <w:r w:rsidR="00DE54EE">
        <w:t>if we compare countries in North America to those in Africa.</w:t>
      </w:r>
    </w:p>
    <w:p w14:paraId="01E37F44" w14:textId="0F96138C" w:rsidR="004234FC" w:rsidRDefault="004234FC" w:rsidP="005B690D">
      <w:pPr>
        <w:jc w:val="both"/>
      </w:pPr>
    </w:p>
    <w:p w14:paraId="0B788C0D" w14:textId="36224D5E" w:rsidR="004234FC" w:rsidRDefault="004234FC" w:rsidP="005B690D">
      <w:pPr>
        <w:jc w:val="both"/>
      </w:pPr>
      <w:r>
        <w:t xml:space="preserve">But to </w:t>
      </w:r>
      <w:r w:rsidR="002B7590">
        <w:t>further</w:t>
      </w:r>
      <w:r>
        <w:t xml:space="preserve"> explore how </w:t>
      </w:r>
      <w:r w:rsidR="00271D4F">
        <w:t xml:space="preserve">varied of an effect did </w:t>
      </w:r>
      <w:r w:rsidRPr="004C75FC">
        <w:rPr>
          <w:b/>
          <w:bCs/>
          <w:i/>
          <w:iCs/>
        </w:rPr>
        <w:t>Schooling</w:t>
      </w:r>
      <w:r w:rsidR="00271D4F">
        <w:t>,</w:t>
      </w:r>
      <w:r>
        <w:t xml:space="preserve"> as well as </w:t>
      </w:r>
      <w:r w:rsidRPr="004C75FC">
        <w:rPr>
          <w:b/>
          <w:bCs/>
          <w:i/>
          <w:iCs/>
        </w:rPr>
        <w:t>Total</w:t>
      </w:r>
      <w:r>
        <w:t xml:space="preserve"> </w:t>
      </w:r>
      <w:r w:rsidRPr="004C75FC">
        <w:rPr>
          <w:b/>
          <w:bCs/>
          <w:i/>
          <w:iCs/>
        </w:rPr>
        <w:t>Expenditure</w:t>
      </w:r>
      <w:r w:rsidR="00271D4F">
        <w:t xml:space="preserve">, had on </w:t>
      </w:r>
      <w:r w:rsidR="00271D4F" w:rsidRPr="009B24F4">
        <w:rPr>
          <w:b/>
          <w:bCs/>
          <w:i/>
          <w:iCs/>
        </w:rPr>
        <w:t>Life Expenditure</w:t>
      </w:r>
      <w:r w:rsidR="00271D4F">
        <w:t xml:space="preserve"> we decided to </w:t>
      </w:r>
      <w:r w:rsidR="00AD4251">
        <w:t xml:space="preserve">generate two models trained with the same structure but only on the subset of data of years 2000 and 2014. </w:t>
      </w:r>
      <w:r w:rsidR="00E70F62">
        <w:t>This is because,</w:t>
      </w:r>
      <w:r w:rsidR="00AD4251">
        <w:t xml:space="preserve"> 2000 </w:t>
      </w:r>
      <w:r w:rsidR="001321FD">
        <w:t>to</w:t>
      </w:r>
      <w:r w:rsidR="00AD4251">
        <w:t xml:space="preserve"> 2014 would be a large enough </w:t>
      </w:r>
      <w:r w:rsidR="0024130A">
        <w:t>time-</w:t>
      </w:r>
      <w:r w:rsidR="00AD4251">
        <w:t>period to notice difference</w:t>
      </w:r>
      <w:r w:rsidR="00E70F62">
        <w:t>s</w:t>
      </w:r>
      <w:r w:rsidR="00AD4251">
        <w:t xml:space="preserve"> between </w:t>
      </w:r>
      <w:r w:rsidR="00AD4251" w:rsidRPr="00A44683">
        <w:rPr>
          <w:b/>
          <w:bCs/>
          <w:i/>
          <w:iCs/>
        </w:rPr>
        <w:t>Life Expectancy</w:t>
      </w:r>
      <w:r w:rsidR="00AD4251">
        <w:t xml:space="preserve"> and all the factors</w:t>
      </w:r>
      <w:r w:rsidR="00E70F62">
        <w:t xml:space="preserve"> affecting </w:t>
      </w:r>
      <w:r w:rsidR="00E70F62" w:rsidRPr="00A44683">
        <w:rPr>
          <w:b/>
          <w:bCs/>
          <w:i/>
          <w:iCs/>
        </w:rPr>
        <w:t>Life Expectancy</w:t>
      </w:r>
      <w:r w:rsidR="001321FD">
        <w:t>.</w:t>
      </w:r>
      <w:r w:rsidR="00E674D9">
        <w:t xml:space="preserve"> And comparing the results from both these models would </w:t>
      </w:r>
      <w:r w:rsidR="002B45C1">
        <w:t>help</w:t>
      </w:r>
      <w:r w:rsidR="00E674D9">
        <w:t xml:space="preserve"> us have a contrastive comparison on how </w:t>
      </w:r>
      <w:r w:rsidR="00972555">
        <w:t>things changed between these years.</w:t>
      </w:r>
    </w:p>
    <w:p w14:paraId="5CFEE983" w14:textId="3A5122AD" w:rsidR="00D42DEA" w:rsidRDefault="00D42DEA" w:rsidP="005B690D">
      <w:pPr>
        <w:jc w:val="both"/>
      </w:pPr>
    </w:p>
    <w:p w14:paraId="4493BA3F" w14:textId="66FCB1CF" w:rsidR="00A32CAD" w:rsidRDefault="00346306" w:rsidP="005B690D">
      <w:pPr>
        <w:jc w:val="both"/>
      </w:pPr>
      <w:r>
        <w:lastRenderedPageBreak/>
        <w:t>After training the models for years 2000 and 2014,</w:t>
      </w:r>
      <w:r w:rsidR="00431F56">
        <w:t xml:space="preserve"> the </w:t>
      </w:r>
      <w:r w:rsidR="00246E7E">
        <w:t>goal was to check the trends for the fitted values for the two models.</w:t>
      </w:r>
      <w:r w:rsidR="00594B5D">
        <w:t xml:space="preserve"> Dummy</w:t>
      </w:r>
      <w:r>
        <w:t xml:space="preserve"> </w:t>
      </w:r>
      <w:r w:rsidR="00A32CAD">
        <w:t xml:space="preserve">data was simulated </w:t>
      </w:r>
      <w:r w:rsidR="00B354D9">
        <w:t xml:space="preserve">for both years, by generating combinations of </w:t>
      </w:r>
      <w:r w:rsidR="00431F56">
        <w:t>values for the predictors. Using these simulated values</w:t>
      </w:r>
      <w:r w:rsidR="00773C0B">
        <w:t xml:space="preserve">, the values were fed to the model to predict the </w:t>
      </w:r>
      <w:r w:rsidR="00773C0B" w:rsidRPr="00773C0B">
        <w:rPr>
          <w:b/>
          <w:bCs/>
        </w:rPr>
        <w:t>Life Expectancy</w:t>
      </w:r>
      <w:r w:rsidR="00512CBA">
        <w:t>.</w:t>
      </w:r>
      <w:r w:rsidR="00E7638D">
        <w:t xml:space="preserve"> Using these predicted values, </w:t>
      </w:r>
      <w:r w:rsidR="004047C5">
        <w:t>the following plots were used to compare the results of the two models for each of the metrics</w:t>
      </w:r>
      <w:r w:rsidR="007D05B7">
        <w:t xml:space="preserve"> </w:t>
      </w:r>
      <w:r w:rsidR="00A27124">
        <w:t>(</w:t>
      </w:r>
      <w:r w:rsidR="009D5EB9">
        <w:t xml:space="preserve">i.e., </w:t>
      </w:r>
      <w:r w:rsidR="00A27124" w:rsidRPr="004C75FC">
        <w:rPr>
          <w:b/>
          <w:bCs/>
          <w:i/>
          <w:iCs/>
        </w:rPr>
        <w:t>Schooling</w:t>
      </w:r>
      <w:r w:rsidR="00A27124">
        <w:rPr>
          <w:b/>
          <w:bCs/>
          <w:i/>
          <w:iCs/>
        </w:rPr>
        <w:t xml:space="preserve">, </w:t>
      </w:r>
      <w:r w:rsidR="00A27124" w:rsidRPr="004C75FC">
        <w:rPr>
          <w:b/>
          <w:bCs/>
          <w:i/>
          <w:iCs/>
        </w:rPr>
        <w:t>Total</w:t>
      </w:r>
      <w:r w:rsidR="00A27124">
        <w:t xml:space="preserve"> </w:t>
      </w:r>
      <w:r w:rsidR="00A27124" w:rsidRPr="004C75FC">
        <w:rPr>
          <w:b/>
          <w:bCs/>
          <w:i/>
          <w:iCs/>
        </w:rPr>
        <w:t>Expenditure</w:t>
      </w:r>
      <w:r w:rsidR="00A27124">
        <w:rPr>
          <w:b/>
          <w:bCs/>
          <w:i/>
          <w:iCs/>
        </w:rPr>
        <w:t xml:space="preserve"> </w:t>
      </w:r>
      <w:r w:rsidR="00A27124">
        <w:t xml:space="preserve">&amp; </w:t>
      </w:r>
      <w:r w:rsidR="00A27124">
        <w:rPr>
          <w:b/>
          <w:bCs/>
          <w:i/>
          <w:iCs/>
        </w:rPr>
        <w:t>Polio)</w:t>
      </w:r>
      <w:r w:rsidR="00A27124">
        <w:t>.</w:t>
      </w:r>
    </w:p>
    <w:p w14:paraId="073E3B1A" w14:textId="7B75D1D2" w:rsidR="00E70291" w:rsidRDefault="00E70291" w:rsidP="005B690D">
      <w:pPr>
        <w:jc w:val="both"/>
      </w:pPr>
    </w:p>
    <w:p w14:paraId="71FF5AA0" w14:textId="7B66D89B" w:rsidR="00F33904" w:rsidRDefault="00EA0EAC" w:rsidP="00F33904">
      <w:pPr>
        <w:pStyle w:val="ListParagraph"/>
        <w:numPr>
          <w:ilvl w:val="0"/>
          <w:numId w:val="1"/>
        </w:numPr>
        <w:jc w:val="both"/>
      </w:pPr>
      <w:r>
        <w:t>Schooling:</w:t>
      </w:r>
    </w:p>
    <w:p w14:paraId="33909AD6" w14:textId="77777777" w:rsidR="0072424B" w:rsidRDefault="0072424B" w:rsidP="0072424B">
      <w:pPr>
        <w:pStyle w:val="ListParagraph"/>
        <w:jc w:val="both"/>
      </w:pPr>
    </w:p>
    <w:p w14:paraId="70763733" w14:textId="395DB975" w:rsidR="005F5E4A" w:rsidRDefault="00E70291" w:rsidP="00BC5BEC">
      <w:pPr>
        <w:jc w:val="center"/>
      </w:pPr>
      <w:r>
        <w:rPr>
          <w:noProof/>
        </w:rPr>
        <w:drawing>
          <wp:inline distT="0" distB="0" distL="0" distR="0" wp14:anchorId="0CA34841" wp14:editId="34B696B6">
            <wp:extent cx="2994660" cy="1497330"/>
            <wp:effectExtent l="0" t="0" r="254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17AC" w14:textId="1A756625" w:rsidR="00BC5BEC" w:rsidRPr="00BC5BEC" w:rsidRDefault="00BC5BEC" w:rsidP="00BC5BEC">
      <w:pPr>
        <w:jc w:val="center"/>
        <w:rPr>
          <w:sz w:val="15"/>
          <w:szCs w:val="15"/>
        </w:rPr>
      </w:pPr>
      <w:r w:rsidRPr="00BC5BEC">
        <w:rPr>
          <w:sz w:val="15"/>
          <w:szCs w:val="15"/>
        </w:rPr>
        <w:t>Figure 4.1: Schooling and predicted Life Expectancy</w:t>
      </w:r>
    </w:p>
    <w:p w14:paraId="4D6E6D62" w14:textId="290E97E6" w:rsidR="00A72495" w:rsidRDefault="00A72495" w:rsidP="00BC5BEC">
      <w:pPr>
        <w:jc w:val="center"/>
      </w:pPr>
    </w:p>
    <w:p w14:paraId="2FE61E15" w14:textId="1A8D0791" w:rsidR="00A72495" w:rsidRDefault="00EA0EAC" w:rsidP="005645F8">
      <w:pPr>
        <w:ind w:left="720"/>
        <w:jc w:val="both"/>
      </w:pPr>
      <w:r>
        <w:t>In Figure 4.1</w:t>
      </w:r>
      <w:r w:rsidR="0072424B">
        <w:t>, we can observe that in both the years 2000 and 2014, there is a strong positive correlation between Schooling and Life Expectancy</w:t>
      </w:r>
      <w:r w:rsidR="00CB1E3C">
        <w:t>, for each continent</w:t>
      </w:r>
      <w:r w:rsidR="0072424B">
        <w:t xml:space="preserve">. But </w:t>
      </w:r>
      <w:r w:rsidR="00F612DE">
        <w:t>for the year 2000, there is a lot more variation</w:t>
      </w:r>
      <w:r w:rsidR="00856FB9">
        <w:t xml:space="preserve"> between the </w:t>
      </w:r>
      <w:r w:rsidR="00FC0732">
        <w:t>continents</w:t>
      </w:r>
      <w:r w:rsidR="00F612DE">
        <w:t xml:space="preserve"> </w:t>
      </w:r>
      <w:r w:rsidR="00CB1E3C">
        <w:t>as compared to year</w:t>
      </w:r>
      <w:r w:rsidR="00FC0732">
        <w:t xml:space="preserve"> </w:t>
      </w:r>
      <w:r w:rsidR="00CB1E3C">
        <w:t xml:space="preserve">2014. </w:t>
      </w:r>
      <w:r w:rsidR="00CA34FA">
        <w:t xml:space="preserve">As for Africa the trend has just shifted upwards from 2000 to 2014. </w:t>
      </w:r>
      <w:r w:rsidR="00941DBE">
        <w:t>One reason explaining this variation could be that, as for the recent years, the emphasis on education has increased</w:t>
      </w:r>
      <w:r w:rsidR="00F04A35">
        <w:t xml:space="preserve"> as compared to the earlier years. This impact of more emphasis on education </w:t>
      </w:r>
      <w:r w:rsidR="0039300D">
        <w:t>makes</w:t>
      </w:r>
      <w:r w:rsidR="00D9040C">
        <w:t xml:space="preserve"> the feature</w:t>
      </w:r>
      <w:r w:rsidR="0039300D">
        <w:t xml:space="preserve"> </w:t>
      </w:r>
      <w:r w:rsidR="0039300D" w:rsidRPr="0039300D">
        <w:rPr>
          <w:b/>
          <w:bCs/>
          <w:i/>
          <w:iCs/>
        </w:rPr>
        <w:t>Schooling</w:t>
      </w:r>
      <w:r w:rsidR="0039300D">
        <w:rPr>
          <w:b/>
          <w:bCs/>
          <w:i/>
          <w:iCs/>
        </w:rPr>
        <w:t xml:space="preserve"> </w:t>
      </w:r>
      <w:r w:rsidR="0039300D">
        <w:t>a much stronger and direct contributor to</w:t>
      </w:r>
      <w:r w:rsidR="003D0F93">
        <w:t xml:space="preserve"> a</w:t>
      </w:r>
      <w:r w:rsidR="0039300D">
        <w:t xml:space="preserve"> better </w:t>
      </w:r>
      <w:r w:rsidR="00157F99" w:rsidRPr="000B3504">
        <w:rPr>
          <w:b/>
          <w:bCs/>
          <w:i/>
          <w:iCs/>
        </w:rPr>
        <w:t>Life Expectancy</w:t>
      </w:r>
      <w:r w:rsidR="00583C9B" w:rsidRPr="00583C9B">
        <w:t xml:space="preserve"> </w:t>
      </w:r>
      <w:r w:rsidR="009D13D3">
        <w:t xml:space="preserve">value </w:t>
      </w:r>
      <w:r w:rsidR="00583C9B" w:rsidRPr="00583C9B">
        <w:t>for every country</w:t>
      </w:r>
      <w:r w:rsidR="00D9040C">
        <w:t xml:space="preserve">, </w:t>
      </w:r>
      <w:r w:rsidR="00860364">
        <w:t>for the year 2014</w:t>
      </w:r>
      <w:r w:rsidR="00157F99" w:rsidRPr="00583C9B">
        <w:t>.</w:t>
      </w:r>
      <w:r w:rsidR="005645F8">
        <w:t xml:space="preserve"> </w:t>
      </w:r>
      <w:r w:rsidR="0036547B">
        <w:t>This explains the uniformity that can be noticed for every continent</w:t>
      </w:r>
      <w:r w:rsidR="00256242">
        <w:t xml:space="preserve"> for that year</w:t>
      </w:r>
      <w:r w:rsidR="0036547B">
        <w:t xml:space="preserve">. </w:t>
      </w:r>
      <w:r w:rsidR="008422ED">
        <w:t xml:space="preserve">In other words, we can say the for the recent years, </w:t>
      </w:r>
      <w:r w:rsidR="00F06FEC">
        <w:t xml:space="preserve">Schooling is directly, </w:t>
      </w:r>
      <w:proofErr w:type="gramStart"/>
      <w:r w:rsidR="00F06FEC">
        <w:t>strongly</w:t>
      </w:r>
      <w:proofErr w:type="gramEnd"/>
      <w:r w:rsidR="00F06FEC">
        <w:t xml:space="preserve"> and positively correlated to Life Expectancy</w:t>
      </w:r>
      <w:r w:rsidR="00AF33FB">
        <w:t xml:space="preserve">, and this is the case with every continent. </w:t>
      </w:r>
    </w:p>
    <w:p w14:paraId="2F67F748" w14:textId="77777777" w:rsidR="00F7722E" w:rsidRDefault="00F7722E" w:rsidP="005645F8">
      <w:pPr>
        <w:ind w:left="720"/>
        <w:jc w:val="both"/>
      </w:pPr>
    </w:p>
    <w:p w14:paraId="51D893B6" w14:textId="6F23ED01" w:rsidR="00F7722E" w:rsidRDefault="00F7722E" w:rsidP="00F7722E">
      <w:pPr>
        <w:pStyle w:val="ListParagraph"/>
        <w:numPr>
          <w:ilvl w:val="0"/>
          <w:numId w:val="1"/>
        </w:numPr>
        <w:jc w:val="both"/>
      </w:pPr>
      <w:r>
        <w:t>Polio</w:t>
      </w:r>
    </w:p>
    <w:p w14:paraId="50482CD5" w14:textId="1DE612A9" w:rsidR="00F7722E" w:rsidRDefault="00F7722E" w:rsidP="00F7722E">
      <w:pPr>
        <w:pStyle w:val="ListParagraph"/>
        <w:jc w:val="center"/>
      </w:pPr>
      <w:r>
        <w:rPr>
          <w:noProof/>
        </w:rPr>
        <w:drawing>
          <wp:inline distT="0" distB="0" distL="0" distR="0" wp14:anchorId="46EAF9ED" wp14:editId="3705A0D0">
            <wp:extent cx="3549015" cy="1774508"/>
            <wp:effectExtent l="0" t="0" r="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42" cy="17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F581" w14:textId="7615ACD7" w:rsidR="00F7722E" w:rsidRPr="00BC5BEC" w:rsidRDefault="00F7722E" w:rsidP="00F7722E">
      <w:pPr>
        <w:jc w:val="center"/>
        <w:rPr>
          <w:sz w:val="15"/>
          <w:szCs w:val="15"/>
        </w:rPr>
      </w:pPr>
      <w:r w:rsidRPr="00BC5BEC">
        <w:rPr>
          <w:sz w:val="15"/>
          <w:szCs w:val="15"/>
        </w:rPr>
        <w:t>Figure 4.</w:t>
      </w:r>
      <w:r>
        <w:rPr>
          <w:sz w:val="15"/>
          <w:szCs w:val="15"/>
        </w:rPr>
        <w:t>2</w:t>
      </w:r>
      <w:r w:rsidRPr="00BC5BEC">
        <w:rPr>
          <w:sz w:val="15"/>
          <w:szCs w:val="15"/>
        </w:rPr>
        <w:t xml:space="preserve">: </w:t>
      </w:r>
      <w:r>
        <w:rPr>
          <w:sz w:val="15"/>
          <w:szCs w:val="15"/>
        </w:rPr>
        <w:t>Polio</w:t>
      </w:r>
      <w:r w:rsidRPr="00BC5BEC">
        <w:rPr>
          <w:sz w:val="15"/>
          <w:szCs w:val="15"/>
        </w:rPr>
        <w:t xml:space="preserve"> and predicted Life Expectancy</w:t>
      </w:r>
    </w:p>
    <w:p w14:paraId="1E66A6C0" w14:textId="24C10259" w:rsidR="00F7722E" w:rsidRDefault="00F7722E" w:rsidP="00F7722E">
      <w:pPr>
        <w:pStyle w:val="ListParagraph"/>
        <w:jc w:val="center"/>
      </w:pPr>
    </w:p>
    <w:p w14:paraId="4AD761F7" w14:textId="1A735A16" w:rsidR="009B26C8" w:rsidRDefault="009B26C8" w:rsidP="00B9695A">
      <w:pPr>
        <w:ind w:left="720"/>
      </w:pPr>
      <w:r>
        <w:lastRenderedPageBreak/>
        <w:t xml:space="preserve">In Figure 4.2, we can see that the </w:t>
      </w:r>
      <w:r w:rsidR="009E227A" w:rsidRPr="009E227A">
        <w:rPr>
          <w:b/>
          <w:bCs/>
          <w:i/>
          <w:iCs/>
        </w:rPr>
        <w:t>Polio</w:t>
      </w:r>
      <w:r>
        <w:t xml:space="preserve"> vaccination rate has always had a positive correlation with life expectancy. Also, the overall </w:t>
      </w:r>
      <w:r w:rsidR="004F0A36" w:rsidRPr="004F0A36">
        <w:rPr>
          <w:b/>
          <w:bCs/>
          <w:i/>
          <w:iCs/>
        </w:rPr>
        <w:t>L</w:t>
      </w:r>
      <w:r w:rsidRPr="004F0A36">
        <w:rPr>
          <w:b/>
          <w:bCs/>
          <w:i/>
          <w:iCs/>
        </w:rPr>
        <w:t xml:space="preserve">ife </w:t>
      </w:r>
      <w:r w:rsidR="004F0A36" w:rsidRPr="004F0A36">
        <w:rPr>
          <w:b/>
          <w:bCs/>
          <w:i/>
          <w:iCs/>
        </w:rPr>
        <w:t>E</w:t>
      </w:r>
      <w:r w:rsidRPr="004F0A36">
        <w:rPr>
          <w:b/>
          <w:bCs/>
          <w:i/>
          <w:iCs/>
        </w:rPr>
        <w:t>xpectancy</w:t>
      </w:r>
      <w:r>
        <w:t xml:space="preserve"> for Africa has gone up by 10 years. The life expectancy of Asia also increased by nearly 5 years.</w:t>
      </w:r>
      <w:r w:rsidR="00024038">
        <w:t xml:space="preserve"> </w:t>
      </w:r>
      <w:r w:rsidR="00311255">
        <w:t>We can say that immunizations always have</w:t>
      </w:r>
      <w:r w:rsidR="00D02A68">
        <w:t xml:space="preserve"> had</w:t>
      </w:r>
      <w:r w:rsidR="00311255">
        <w:t xml:space="preserve"> a strong effect </w:t>
      </w:r>
      <w:r w:rsidR="00D02A68">
        <w:t xml:space="preserve">on </w:t>
      </w:r>
      <w:r w:rsidR="00D02A68" w:rsidRPr="00A719F8">
        <w:rPr>
          <w:b/>
          <w:bCs/>
          <w:i/>
          <w:iCs/>
        </w:rPr>
        <w:t>Life Expectancy</w:t>
      </w:r>
      <w:r w:rsidR="00D02A68">
        <w:t>.</w:t>
      </w:r>
    </w:p>
    <w:p w14:paraId="5653C5B3" w14:textId="77777777" w:rsidR="009B5D7F" w:rsidRDefault="009B5D7F" w:rsidP="00B9695A">
      <w:pPr>
        <w:ind w:left="720"/>
      </w:pPr>
    </w:p>
    <w:p w14:paraId="1B83C8E8" w14:textId="0574113C" w:rsidR="00F50CC2" w:rsidRDefault="003E42B2" w:rsidP="00F50CC2">
      <w:pPr>
        <w:pStyle w:val="ListParagraph"/>
        <w:numPr>
          <w:ilvl w:val="0"/>
          <w:numId w:val="1"/>
        </w:numPr>
      </w:pPr>
      <w:r>
        <w:t>Total Expenditure:</w:t>
      </w:r>
    </w:p>
    <w:p w14:paraId="5152C387" w14:textId="5BE3B357" w:rsidR="00F7722E" w:rsidRDefault="009B5D7F" w:rsidP="009B5D7F">
      <w:pPr>
        <w:jc w:val="center"/>
      </w:pPr>
      <w:r>
        <w:rPr>
          <w:noProof/>
        </w:rPr>
        <w:drawing>
          <wp:inline distT="0" distB="0" distL="0" distR="0" wp14:anchorId="3609842B" wp14:editId="7594789A">
            <wp:extent cx="2846070" cy="14230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58" cy="142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3D77" w14:textId="1BACAFE4" w:rsidR="003E42B2" w:rsidRDefault="003E42B2" w:rsidP="003E42B2">
      <w:pPr>
        <w:jc w:val="center"/>
        <w:rPr>
          <w:sz w:val="15"/>
          <w:szCs w:val="15"/>
        </w:rPr>
      </w:pPr>
      <w:r w:rsidRPr="00BC5BEC">
        <w:rPr>
          <w:sz w:val="15"/>
          <w:szCs w:val="15"/>
        </w:rPr>
        <w:t>Figure 4.</w:t>
      </w:r>
      <w:r w:rsidR="00A968CD">
        <w:rPr>
          <w:sz w:val="15"/>
          <w:szCs w:val="15"/>
        </w:rPr>
        <w:t>3</w:t>
      </w:r>
      <w:r w:rsidRPr="00BC5BEC">
        <w:rPr>
          <w:sz w:val="15"/>
          <w:szCs w:val="15"/>
        </w:rPr>
        <w:t xml:space="preserve">: </w:t>
      </w:r>
      <w:r w:rsidR="00B9250C">
        <w:rPr>
          <w:sz w:val="15"/>
          <w:szCs w:val="15"/>
        </w:rPr>
        <w:t>Total Expenditure</w:t>
      </w:r>
      <w:r w:rsidRPr="00BC5BEC">
        <w:rPr>
          <w:sz w:val="15"/>
          <w:szCs w:val="15"/>
        </w:rPr>
        <w:t xml:space="preserve"> and predicted Life Expectancy</w:t>
      </w:r>
    </w:p>
    <w:p w14:paraId="4AE47BB8" w14:textId="77777777" w:rsidR="00B01511" w:rsidRPr="00BC5BEC" w:rsidRDefault="00B01511" w:rsidP="003E42B2">
      <w:pPr>
        <w:jc w:val="center"/>
        <w:rPr>
          <w:sz w:val="15"/>
          <w:szCs w:val="15"/>
        </w:rPr>
      </w:pPr>
    </w:p>
    <w:p w14:paraId="4963F323" w14:textId="29B2090E" w:rsidR="009B5D7F" w:rsidRPr="0039300D" w:rsidRDefault="00A968CD" w:rsidP="00C22961">
      <w:pPr>
        <w:ind w:left="720"/>
        <w:jc w:val="both"/>
      </w:pPr>
      <w:r>
        <w:t xml:space="preserve">In Figure 4.3, </w:t>
      </w:r>
      <w:r w:rsidR="00E1687F">
        <w:t>for the year 2000,</w:t>
      </w:r>
      <w:r w:rsidR="00B01511">
        <w:t xml:space="preserve"> North America </w:t>
      </w:r>
      <w:r w:rsidR="00955C0E">
        <w:t>has</w:t>
      </w:r>
      <w:r w:rsidR="00E1687F">
        <w:t xml:space="preserve"> a slight downwards</w:t>
      </w:r>
      <w:r w:rsidR="00DB4440">
        <w:t xml:space="preserve"> </w:t>
      </w:r>
      <w:r w:rsidR="00DB4440" w:rsidRPr="00C559C2">
        <w:rPr>
          <w:b/>
          <w:bCs/>
          <w:i/>
          <w:iCs/>
        </w:rPr>
        <w:t>Total Expenditure</w:t>
      </w:r>
      <w:r w:rsidR="00E1687F">
        <w:t xml:space="preserve"> trend, as opposed to other continents, except Africa. However, the trend for</w:t>
      </w:r>
      <w:r w:rsidR="00ED50E6">
        <w:t xml:space="preserve"> North America</w:t>
      </w:r>
      <w:r w:rsidR="00CD49F8">
        <w:t xml:space="preserve"> </w:t>
      </w:r>
      <w:r w:rsidR="008F4DF3">
        <w:t>is</w:t>
      </w:r>
      <w:r w:rsidR="00CD49F8">
        <w:t xml:space="preserve"> </w:t>
      </w:r>
      <w:r w:rsidR="00514A0B">
        <w:t>quite flat</w:t>
      </w:r>
      <w:r w:rsidR="002E69A0">
        <w:t xml:space="preserve">. As for Asia, the trend </w:t>
      </w:r>
      <w:r w:rsidR="00981C0B">
        <w:t xml:space="preserve">goes from flat to slightly increasing from the years 2000 to 2014. </w:t>
      </w:r>
      <w:r w:rsidR="00DA37AA">
        <w:t xml:space="preserve">Africa, as we saw before, is a special case here. The trend is downwards </w:t>
      </w:r>
      <w:r w:rsidR="007554F4">
        <w:t>for both the years 2000 and 2014.</w:t>
      </w:r>
      <w:r w:rsidR="006568DC">
        <w:t xml:space="preserve"> But it can be </w:t>
      </w:r>
      <w:r w:rsidR="00F2107F">
        <w:t>observed</w:t>
      </w:r>
      <w:r w:rsidR="006568DC">
        <w:t xml:space="preserve"> </w:t>
      </w:r>
      <w:r w:rsidR="00F2107F">
        <w:t xml:space="preserve">that </w:t>
      </w:r>
      <w:r w:rsidR="002A5435">
        <w:t xml:space="preserve">for the year 2000, Africa has </w:t>
      </w:r>
      <w:r w:rsidR="009D728C">
        <w:t>a much steeper trend as compa</w:t>
      </w:r>
      <w:r w:rsidR="0035562C">
        <w:t>r</w:t>
      </w:r>
      <w:r w:rsidR="009D728C">
        <w:t>ed to the year 2014</w:t>
      </w:r>
      <w:r w:rsidR="00B50FEA">
        <w:t xml:space="preserve">, signifying the increase in </w:t>
      </w:r>
      <w:r w:rsidR="00FF5351">
        <w:t xml:space="preserve">Life Expectancy in Africa, </w:t>
      </w:r>
      <w:r w:rsidR="007C37C3">
        <w:t>amongst</w:t>
      </w:r>
      <w:r w:rsidR="00FF5351">
        <w:t xml:space="preserve"> the</w:t>
      </w:r>
      <w:r w:rsidR="00AB0DD6">
        <w:t xml:space="preserve"> two</w:t>
      </w:r>
      <w:r w:rsidR="00FF5351">
        <w:t xml:space="preserve"> years</w:t>
      </w:r>
      <w:r w:rsidR="00E55800">
        <w:t xml:space="preserve"> 2000 and 2014</w:t>
      </w:r>
      <w:r w:rsidR="00CF51AA">
        <w:t>.</w:t>
      </w:r>
      <w:r w:rsidR="0024541B">
        <w:t xml:space="preserve"> </w:t>
      </w:r>
      <w:r w:rsidR="001124CB">
        <w:t xml:space="preserve">However, </w:t>
      </w:r>
      <w:r w:rsidR="00E33037">
        <w:t>the trend is still interestingly downwards.</w:t>
      </w:r>
      <w:r w:rsidR="00E9244A">
        <w:t xml:space="preserve"> Th</w:t>
      </w:r>
      <w:r w:rsidR="00A60530">
        <w:t xml:space="preserve">is can be attributed to our </w:t>
      </w:r>
      <w:r w:rsidR="004C23D7">
        <w:t>hypothesis</w:t>
      </w:r>
      <w:r w:rsidR="00A60530">
        <w:t xml:space="preserve"> earlier in the EDA section, where </w:t>
      </w:r>
      <w:r w:rsidR="004C23D7">
        <w:t xml:space="preserve">even with the </w:t>
      </w:r>
      <w:r w:rsidR="00B8683B">
        <w:t>higher</w:t>
      </w:r>
      <w:r w:rsidR="00BB38DC">
        <w:t xml:space="preserve"> amount</w:t>
      </w:r>
      <w:r w:rsidR="00A5587D">
        <w:t xml:space="preserve"> of</w:t>
      </w:r>
      <w:r w:rsidR="004C23D7">
        <w:t xml:space="preserve"> healthcare expenditure</w:t>
      </w:r>
      <w:r w:rsidR="00773E75">
        <w:t>,</w:t>
      </w:r>
      <w:r w:rsidR="004C23D7">
        <w:t xml:space="preserve"> the prevalence of HIV/AIDS </w:t>
      </w:r>
      <w:r w:rsidR="00B8683B">
        <w:t>affects Life E</w:t>
      </w:r>
      <w:r w:rsidR="00104D50">
        <w:t>xpectancy inversely</w:t>
      </w:r>
      <w:r w:rsidR="00657B8E">
        <w:t>.</w:t>
      </w:r>
    </w:p>
    <w:sectPr w:rsidR="009B5D7F" w:rsidRPr="0039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156A8"/>
    <w:multiLevelType w:val="hybridMultilevel"/>
    <w:tmpl w:val="58BCA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D0"/>
    <w:rsid w:val="000211C9"/>
    <w:rsid w:val="00024038"/>
    <w:rsid w:val="00032DD7"/>
    <w:rsid w:val="0006670B"/>
    <w:rsid w:val="000A1F16"/>
    <w:rsid w:val="000B3504"/>
    <w:rsid w:val="001003FC"/>
    <w:rsid w:val="00104D50"/>
    <w:rsid w:val="00105314"/>
    <w:rsid w:val="001124CB"/>
    <w:rsid w:val="001321FD"/>
    <w:rsid w:val="00134F66"/>
    <w:rsid w:val="00135DD1"/>
    <w:rsid w:val="00157F99"/>
    <w:rsid w:val="001978B6"/>
    <w:rsid w:val="001C5CD1"/>
    <w:rsid w:val="0024130A"/>
    <w:rsid w:val="0024541B"/>
    <w:rsid w:val="00246E7E"/>
    <w:rsid w:val="00256242"/>
    <w:rsid w:val="00271D4F"/>
    <w:rsid w:val="00275EB7"/>
    <w:rsid w:val="00292785"/>
    <w:rsid w:val="002A5435"/>
    <w:rsid w:val="002B2677"/>
    <w:rsid w:val="002B45C1"/>
    <w:rsid w:val="002B47AA"/>
    <w:rsid w:val="002B7590"/>
    <w:rsid w:val="002E69A0"/>
    <w:rsid w:val="003033D1"/>
    <w:rsid w:val="0030585C"/>
    <w:rsid w:val="00311255"/>
    <w:rsid w:val="00346306"/>
    <w:rsid w:val="00350C0A"/>
    <w:rsid w:val="0035562C"/>
    <w:rsid w:val="0036547B"/>
    <w:rsid w:val="003927CD"/>
    <w:rsid w:val="0039300D"/>
    <w:rsid w:val="003A4D4A"/>
    <w:rsid w:val="003A5143"/>
    <w:rsid w:val="003D0F93"/>
    <w:rsid w:val="003E1FD5"/>
    <w:rsid w:val="003E42B2"/>
    <w:rsid w:val="003E4DB8"/>
    <w:rsid w:val="00400846"/>
    <w:rsid w:val="004047C5"/>
    <w:rsid w:val="004234FC"/>
    <w:rsid w:val="00431F56"/>
    <w:rsid w:val="004355CB"/>
    <w:rsid w:val="004417D6"/>
    <w:rsid w:val="004513F1"/>
    <w:rsid w:val="00480E28"/>
    <w:rsid w:val="00491604"/>
    <w:rsid w:val="00492B5C"/>
    <w:rsid w:val="004B3A84"/>
    <w:rsid w:val="004C23D7"/>
    <w:rsid w:val="004C75FC"/>
    <w:rsid w:val="004F0A36"/>
    <w:rsid w:val="004F7D79"/>
    <w:rsid w:val="00512CBA"/>
    <w:rsid w:val="00514A0B"/>
    <w:rsid w:val="005217AB"/>
    <w:rsid w:val="0052401B"/>
    <w:rsid w:val="00531003"/>
    <w:rsid w:val="0054485B"/>
    <w:rsid w:val="00560A58"/>
    <w:rsid w:val="00560DE9"/>
    <w:rsid w:val="005645F8"/>
    <w:rsid w:val="00566A80"/>
    <w:rsid w:val="00583C9B"/>
    <w:rsid w:val="00583D77"/>
    <w:rsid w:val="00594B5D"/>
    <w:rsid w:val="005B690D"/>
    <w:rsid w:val="005F5E4A"/>
    <w:rsid w:val="00624547"/>
    <w:rsid w:val="00651BE7"/>
    <w:rsid w:val="00653AD0"/>
    <w:rsid w:val="006568DC"/>
    <w:rsid w:val="00657B8E"/>
    <w:rsid w:val="006C7E7F"/>
    <w:rsid w:val="006F08A6"/>
    <w:rsid w:val="006F1623"/>
    <w:rsid w:val="006F2634"/>
    <w:rsid w:val="0072424B"/>
    <w:rsid w:val="00733798"/>
    <w:rsid w:val="007554F4"/>
    <w:rsid w:val="00760576"/>
    <w:rsid w:val="00773C0B"/>
    <w:rsid w:val="00773E75"/>
    <w:rsid w:val="0077564F"/>
    <w:rsid w:val="007975D0"/>
    <w:rsid w:val="007B512A"/>
    <w:rsid w:val="007B5748"/>
    <w:rsid w:val="007B7A65"/>
    <w:rsid w:val="007C37C3"/>
    <w:rsid w:val="007D05B7"/>
    <w:rsid w:val="007F1D25"/>
    <w:rsid w:val="0080354F"/>
    <w:rsid w:val="008068A5"/>
    <w:rsid w:val="00825B23"/>
    <w:rsid w:val="008422ED"/>
    <w:rsid w:val="00856FB9"/>
    <w:rsid w:val="00860364"/>
    <w:rsid w:val="00896E51"/>
    <w:rsid w:val="008F4DF3"/>
    <w:rsid w:val="008F6A58"/>
    <w:rsid w:val="00941DBE"/>
    <w:rsid w:val="00955C0E"/>
    <w:rsid w:val="009653CF"/>
    <w:rsid w:val="00972555"/>
    <w:rsid w:val="00981C0B"/>
    <w:rsid w:val="00982A86"/>
    <w:rsid w:val="009A1CE5"/>
    <w:rsid w:val="009A5F74"/>
    <w:rsid w:val="009A6CCA"/>
    <w:rsid w:val="009B24F4"/>
    <w:rsid w:val="009B26C8"/>
    <w:rsid w:val="009B5D7F"/>
    <w:rsid w:val="009C3A0A"/>
    <w:rsid w:val="009D13D3"/>
    <w:rsid w:val="009D5EB9"/>
    <w:rsid w:val="009D728C"/>
    <w:rsid w:val="009E20C7"/>
    <w:rsid w:val="009E227A"/>
    <w:rsid w:val="00A131D3"/>
    <w:rsid w:val="00A13652"/>
    <w:rsid w:val="00A16A0A"/>
    <w:rsid w:val="00A27124"/>
    <w:rsid w:val="00A32CAD"/>
    <w:rsid w:val="00A44683"/>
    <w:rsid w:val="00A5587D"/>
    <w:rsid w:val="00A60530"/>
    <w:rsid w:val="00A719F8"/>
    <w:rsid w:val="00A72495"/>
    <w:rsid w:val="00A92871"/>
    <w:rsid w:val="00A968CD"/>
    <w:rsid w:val="00AA192F"/>
    <w:rsid w:val="00AA5309"/>
    <w:rsid w:val="00AB0DD6"/>
    <w:rsid w:val="00AD4251"/>
    <w:rsid w:val="00AE0EF2"/>
    <w:rsid w:val="00AF33FB"/>
    <w:rsid w:val="00B01511"/>
    <w:rsid w:val="00B132A7"/>
    <w:rsid w:val="00B16E07"/>
    <w:rsid w:val="00B30AA9"/>
    <w:rsid w:val="00B354D9"/>
    <w:rsid w:val="00B41C9E"/>
    <w:rsid w:val="00B42EA0"/>
    <w:rsid w:val="00B50FEA"/>
    <w:rsid w:val="00B75342"/>
    <w:rsid w:val="00B8683B"/>
    <w:rsid w:val="00B9250C"/>
    <w:rsid w:val="00B9695A"/>
    <w:rsid w:val="00BB38DC"/>
    <w:rsid w:val="00BC5BEC"/>
    <w:rsid w:val="00BD7C9E"/>
    <w:rsid w:val="00BE4533"/>
    <w:rsid w:val="00BE4F07"/>
    <w:rsid w:val="00BF68B1"/>
    <w:rsid w:val="00C22961"/>
    <w:rsid w:val="00C559C2"/>
    <w:rsid w:val="00CA34FA"/>
    <w:rsid w:val="00CB1E3C"/>
    <w:rsid w:val="00CB4AD2"/>
    <w:rsid w:val="00CD49F8"/>
    <w:rsid w:val="00CF51AA"/>
    <w:rsid w:val="00D02A68"/>
    <w:rsid w:val="00D42DEA"/>
    <w:rsid w:val="00D9040C"/>
    <w:rsid w:val="00DA37AA"/>
    <w:rsid w:val="00DB275A"/>
    <w:rsid w:val="00DB4440"/>
    <w:rsid w:val="00DE54EE"/>
    <w:rsid w:val="00DF5E74"/>
    <w:rsid w:val="00DF60FE"/>
    <w:rsid w:val="00E10A78"/>
    <w:rsid w:val="00E15F96"/>
    <w:rsid w:val="00E1687F"/>
    <w:rsid w:val="00E24181"/>
    <w:rsid w:val="00E33037"/>
    <w:rsid w:val="00E55800"/>
    <w:rsid w:val="00E674D9"/>
    <w:rsid w:val="00E70291"/>
    <w:rsid w:val="00E70F62"/>
    <w:rsid w:val="00E7638D"/>
    <w:rsid w:val="00E813FB"/>
    <w:rsid w:val="00E9244A"/>
    <w:rsid w:val="00EA0EAC"/>
    <w:rsid w:val="00EB52E6"/>
    <w:rsid w:val="00EB71AD"/>
    <w:rsid w:val="00ED4CBA"/>
    <w:rsid w:val="00ED50E6"/>
    <w:rsid w:val="00ED7FB7"/>
    <w:rsid w:val="00EF387C"/>
    <w:rsid w:val="00EF7842"/>
    <w:rsid w:val="00F04A35"/>
    <w:rsid w:val="00F06FEC"/>
    <w:rsid w:val="00F2107F"/>
    <w:rsid w:val="00F33904"/>
    <w:rsid w:val="00F50CC2"/>
    <w:rsid w:val="00F53AA3"/>
    <w:rsid w:val="00F612DE"/>
    <w:rsid w:val="00F62FA2"/>
    <w:rsid w:val="00F7722E"/>
    <w:rsid w:val="00FB2E9E"/>
    <w:rsid w:val="00FC0732"/>
    <w:rsid w:val="00FC4145"/>
    <w:rsid w:val="00FE008B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13CFE"/>
  <w15:chartTrackingRefBased/>
  <w15:docId w15:val="{F8D9561E-9E80-9043-BB4D-C885C3A4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Aniket</dc:creator>
  <cp:keywords/>
  <dc:description/>
  <cp:lastModifiedBy>Kale, Aniket</cp:lastModifiedBy>
  <cp:revision>225</cp:revision>
  <dcterms:created xsi:type="dcterms:W3CDTF">2021-12-12T20:25:00Z</dcterms:created>
  <dcterms:modified xsi:type="dcterms:W3CDTF">2021-12-13T02:25:00Z</dcterms:modified>
</cp:coreProperties>
</file>