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fragment defines and manages its own layout, has its own lifecycle, and can handle its own input events. Fragments cannot live on their own--they must be hosted by an activity or another fragment. The fragment's view hierarchy becomes part of, or attaches to, the host's view hierarchy.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Fragment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2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Each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Fragment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instance has its own lifecycle. When a user navigates and interacts with your app, your fragments transition through various states in their lifecycle as they are added, removed, and enter or exit the screen.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 manage lifecycle, Fragment implements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LifecycleOwner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exposing a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Lifecycle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object that you can access through the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getLifecycle()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method.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Each possible Lifecycle state is represented in the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Lifecycle.State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enum.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INITIALIZED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CRATED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STARTED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RESUMED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DESTROYED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By building Fragment on top of Lifecycle, you can use the techniques and classes available for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Handling Lifecycles with Lifecycle-Aware Components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 For example, you might display the device's location on the screen using a lifecycle-aware component. This component could automatically start listening when the fragment becomes active and stop when the fragment moves to an inactive state.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As an alternative to using a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LifecycleObserver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the Fragment class includes callback methods that correspond to each of the changes in a fragment's lifecycle. These include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onCreate()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onStart()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onResume()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onPause()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onStop()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onDestroy()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fragment's view has a separate Lifecycle that is managed independently from that of the fragment's Lifecycle. Fragments maintain a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LifecycleOwner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for their view, which can be accessed using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getViewLifecycleOwner()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getViewLifecycleOwnerLiveData()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 Having access to the view's Lifecycle is useful for situations where a Lifecycle-aware component should only perform work while a fragment's view exists, such as observing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LiveData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that is only meant to be displayed on the screen.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topic discusses the Fragment lifecycle in detail, explaining some of the rules that determine a fragment's lifecycle state and showing the relationship between the Lifecycle states and the fragment lifecycle callbacks.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