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Layout w:type="fixed"/>
        <w:tblCellMar>
          <w:top w:w="200" w:type="dxa"/>
          <w:left w:w="300" w:type="dxa"/>
          <w:bottom w:w="100" w:type="dxa"/>
          <w:right w:w="30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shd w:val="clear" w:color="auto" w:fill="1F4E79"/>
          </w:tcPr>
          <w:p w:rsidR="00CB572C" w:rsidRDefault="002508F8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ASSESSMENT - SET 3</w:t>
            </w:r>
          </w:p>
          <w:p w:rsidR="00CB572C" w:rsidRDefault="002508F8">
            <w:pPr>
              <w:widowControl w:val="0"/>
              <w:jc w:val="center"/>
            </w:pPr>
            <w:r>
              <w:rPr>
                <w:color w:val="D9E8F5"/>
              </w:rPr>
              <w:t>Data Scientist / Machine Learning Engineer Evaluation</w:t>
            </w:r>
          </w:p>
        </w:tc>
      </w:tr>
    </w:tbl>
    <w:p w:rsidR="00CB572C" w:rsidRDefault="00CB572C">
      <w:pPr>
        <w:spacing w:after="160"/>
      </w:pPr>
      <w:bookmarkStart w:id="0" w:name="_GoBack"/>
      <w:bookmarkEnd w:id="0"/>
    </w:p>
    <w:p w:rsidR="00CB572C" w:rsidRDefault="002508F8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PART A: Multiple Choice Questions</w:t>
      </w:r>
    </w:p>
    <w:p w:rsidR="00CB572C" w:rsidRDefault="00CB572C">
      <w:pPr>
        <w:spacing w:after="8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Q1.  </w:t>
            </w:r>
            <w:r>
              <w:t>In a production RAG system, re-ranking retrieved chunks before passing them to the LLM is beneficial because: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It reduces the </w:t>
            </w:r>
            <w:r>
              <w:rPr>
                <w:sz w:val="21"/>
                <w:szCs w:val="21"/>
              </w:rPr>
              <w:t>embedding dimensionality of the retrieved vectors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Initial ANN retrieval optimises for approximate similarity; a cross-encoder re-ranker can more precisely score query-document relevance, improving final answer quality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Re-ranking updates the vecto</w:t>
            </w:r>
            <w:r>
              <w:rPr>
                <w:sz w:val="21"/>
                <w:szCs w:val="21"/>
              </w:rPr>
              <w:t>r store index with the new query embedding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It allows the LLM to attend to all documents in the corpus without a retrieval step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Q2.  </w:t>
            </w:r>
            <w:r>
              <w:t>"Semantic chunking" in a RAG pipeline differs from fixed-size chunking because it: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Uses a fixed token limit </w:t>
            </w:r>
            <w:r>
              <w:rPr>
                <w:sz w:val="21"/>
                <w:szCs w:val="21"/>
              </w:rPr>
              <w:t>but adds an extra overlap of 50 tokens between chunks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Dynamically determines chunk boundaries by detecting semantic shifts in the text (e.g., using embedding similarity between consecutive sentences) rather than cutting at a fixed token count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Splits documents only at paragraph-level HTML tags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Embeds the entire document as a single chunk regardless of length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Q3.  </w:t>
            </w:r>
            <w:r>
              <w:t xml:space="preserve">An LLM agent using a "plan-and-execute" pattern differs from a standard </w:t>
            </w:r>
            <w:proofErr w:type="spellStart"/>
            <w:r>
              <w:t>ReAct</w:t>
            </w:r>
            <w:proofErr w:type="spellEnd"/>
            <w:r>
              <w:t xml:space="preserve"> agent in that: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It calls tools in a random </w:t>
            </w:r>
            <w:r>
              <w:rPr>
                <w:sz w:val="21"/>
                <w:szCs w:val="21"/>
              </w:rPr>
              <w:t>order to explore the action space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It first generates a complete multi-step plan, then executes each step sequentially using sub-agents or tools, separating the planning and execution phases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It generates only a single action before returning the a</w:t>
            </w:r>
            <w:r>
              <w:rPr>
                <w:sz w:val="21"/>
                <w:szCs w:val="21"/>
              </w:rPr>
              <w:t>nswer to the user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It uses reinforcement learning to update its policy after every tool call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Q4.  </w:t>
            </w:r>
            <w:r>
              <w:t>Sentence-BERT (SBERT) adapts BERT for semantic similarity by: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Adding a decoder stack so BERT can generate sentences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Using a Siamese / </w:t>
            </w:r>
            <w:r>
              <w:rPr>
                <w:sz w:val="21"/>
                <w:szCs w:val="21"/>
              </w:rPr>
              <w:t xml:space="preserve">twin-network structure where two sentences are encoded independently and their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are compared with cosine similarity, trained on NLI or STS data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Averaging BERT's token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without any fine-tuning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Replacing BERT's attention with a </w:t>
            </w:r>
            <w:r>
              <w:rPr>
                <w:sz w:val="21"/>
                <w:szCs w:val="21"/>
              </w:rPr>
              <w:t>recurrent layer for faster pair comparison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lastRenderedPageBreak/>
              <w:t xml:space="preserve">Q5.  </w:t>
            </w:r>
            <w:r>
              <w:t>The key reason encoder-only models are preferred for token classification tasks (e.g., NER) over decoder-only models is: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Encoder-only models have more parameters and are thus more expressive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Bidirectional context allows every token's representation to incorporate information from both preceding and following tokens, which is crucial for accurate labelling of each position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Decoder-only models cannot process sequences longer than 512 tokens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Encoder-only models natively output one label per token without any modifications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Q6.  </w:t>
            </w:r>
            <w:r>
              <w:t>In a decoder-only model, the feed-forward network (FFN) sublayer that follows multi-head attention typically: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Applies attention between the current token </w:t>
            </w:r>
            <w:r>
              <w:rPr>
                <w:sz w:val="21"/>
                <w:szCs w:val="21"/>
              </w:rPr>
              <w:t>and all other tokens again for deeper contextualisation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Applies two linear transformations with a non-linearity (e.g., GELU or </w:t>
            </w:r>
            <w:proofErr w:type="spellStart"/>
            <w:r>
              <w:rPr>
                <w:sz w:val="21"/>
                <w:szCs w:val="21"/>
              </w:rPr>
              <w:t>SwiGLU</w:t>
            </w:r>
            <w:proofErr w:type="spellEnd"/>
            <w:r>
              <w:rPr>
                <w:sz w:val="21"/>
                <w:szCs w:val="21"/>
              </w:rPr>
              <w:t>) independently and identically to each position - functioning as a position-wise learned feature transformation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Reduces the hidden dimension to the vocabulary size for next-token prediction at every layer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Stores long-term memory by writing to an external key-value memory module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Q7.  </w:t>
            </w:r>
            <w:r>
              <w:t xml:space="preserve">Relative position encodings (e.g., </w:t>
            </w:r>
            <w:proofErr w:type="spellStart"/>
            <w:r>
              <w:t>ALiBi</w:t>
            </w:r>
            <w:proofErr w:type="spellEnd"/>
            <w:r>
              <w:t xml:space="preserve">) differ from absolute positional </w:t>
            </w:r>
            <w:proofErr w:type="spellStart"/>
            <w:r>
              <w:t>e</w:t>
            </w:r>
            <w:r>
              <w:t>mbeddings</w:t>
            </w:r>
            <w:proofErr w:type="spellEnd"/>
            <w:r>
              <w:t xml:space="preserve"> in that: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Relative encodings are added to token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before the first layer while absolute encodings are added inside each attention layer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proofErr w:type="spellStart"/>
            <w:r>
              <w:rPr>
                <w:sz w:val="21"/>
                <w:szCs w:val="21"/>
              </w:rPr>
              <w:t>ALiBi</w:t>
            </w:r>
            <w:proofErr w:type="spellEnd"/>
            <w:r>
              <w:rPr>
                <w:sz w:val="21"/>
                <w:szCs w:val="21"/>
              </w:rPr>
              <w:t xml:space="preserve"> adds a fixed, non-learned linear bias to attention scores based on the distance </w:t>
            </w:r>
            <w:r>
              <w:rPr>
                <w:sz w:val="21"/>
                <w:szCs w:val="21"/>
              </w:rPr>
              <w:t>between query and key positions, allowing the model to attend over lengths beyond those seen during training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Relative encodings use trainable parameters while absolute encodings are fixed sinusoids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proofErr w:type="spellStart"/>
            <w:r>
              <w:rPr>
                <w:sz w:val="21"/>
                <w:szCs w:val="21"/>
              </w:rPr>
              <w:t>ALiBi</w:t>
            </w:r>
            <w:proofErr w:type="spellEnd"/>
            <w:r>
              <w:rPr>
                <w:sz w:val="21"/>
                <w:szCs w:val="21"/>
              </w:rPr>
              <w:t xml:space="preserve"> encodes position only in the first and las</w:t>
            </w:r>
            <w:r>
              <w:rPr>
                <w:sz w:val="21"/>
                <w:szCs w:val="21"/>
              </w:rPr>
              <w:t>t layers to reduce computation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Q8.  </w:t>
            </w:r>
            <w:proofErr w:type="spellStart"/>
            <w:r>
              <w:t>DeepSpeed</w:t>
            </w:r>
            <w:proofErr w:type="spellEnd"/>
            <w:r>
              <w:t xml:space="preserve"> </w:t>
            </w:r>
            <w:proofErr w:type="spellStart"/>
            <w:r>
              <w:t>ZeRO</w:t>
            </w:r>
            <w:proofErr w:type="spellEnd"/>
            <w:r>
              <w:t xml:space="preserve"> Stage 3 reduces GPU memory in distributed training by: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Quantizing the model to INT8 before distributing it across GPUs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Partitioning optimizer states, gradients, AND model parameters across </w:t>
            </w:r>
            <w:r>
              <w:rPr>
                <w:sz w:val="21"/>
                <w:szCs w:val="21"/>
              </w:rPr>
              <w:t>all GPUs so no single GPU holds a full copy, with communication collectives reconstructing shards on demand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Using pipeline parallelism to place different layers on different GPUs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Pruning 50% of model weights before initiating distributed training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Q9.  </w:t>
            </w:r>
            <w:r>
              <w:t xml:space="preserve">When serving a large language model with </w:t>
            </w:r>
            <w:proofErr w:type="spellStart"/>
            <w:r>
              <w:t>PagedAttention</w:t>
            </w:r>
            <w:proofErr w:type="spellEnd"/>
            <w:r>
              <w:t xml:space="preserve"> (used in </w:t>
            </w:r>
            <w:proofErr w:type="spellStart"/>
            <w:r>
              <w:t>vLLM</w:t>
            </w:r>
            <w:proofErr w:type="spellEnd"/>
            <w:r>
              <w:t>), memory fragmentation is reduced by: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Sorting requests by output length so that KV-cache blocks are allocated sequentially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Managing KV-cache in fixed-size </w:t>
            </w:r>
            <w:r>
              <w:rPr>
                <w:sz w:val="21"/>
                <w:szCs w:val="21"/>
              </w:rPr>
              <w:t xml:space="preserve">non-contiguous "pages" mapped dynamically to logical sequence positions, similar to OS virtual memory paging, preventing fragmentation from </w:t>
            </w:r>
            <w:r>
              <w:rPr>
                <w:sz w:val="21"/>
                <w:szCs w:val="21"/>
              </w:rPr>
              <w:lastRenderedPageBreak/>
              <w:t>variable-length sequences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C)  </w:t>
            </w:r>
            <w:r>
              <w:rPr>
                <w:sz w:val="21"/>
                <w:szCs w:val="21"/>
              </w:rPr>
              <w:t xml:space="preserve">Pre-allocating a fixed KV-cache block per token position at server </w:t>
            </w:r>
            <w:proofErr w:type="spellStart"/>
            <w:r>
              <w:rPr>
                <w:sz w:val="21"/>
                <w:szCs w:val="21"/>
              </w:rPr>
              <w:t>startup</w:t>
            </w:r>
            <w:proofErr w:type="spellEnd"/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Offloading completed sequence KV-caches to CPU RAM to free GPU memory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Q10.  </w:t>
            </w:r>
            <w:r>
              <w:t>The primary motivation for using BF16 over FP16 in training large language models is: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BF16 has higher precision (more mantissa bits) than FP16, reducing rounding error in </w:t>
            </w:r>
            <w:r>
              <w:rPr>
                <w:sz w:val="21"/>
                <w:szCs w:val="21"/>
              </w:rPr>
              <w:t>activations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BF16 has the same 8-bit exponent range as FP32, making it less prone to overflow/underflow during training, while its 7-bit mantissa provides sufficient precision for gradient flow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BF16 is a hardware standard that runs on CPUs but not</w:t>
            </w:r>
            <w:r>
              <w:rPr>
                <w:sz w:val="21"/>
                <w:szCs w:val="21"/>
              </w:rPr>
              <w:t xml:space="preserve"> GPUs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BF16 consumes half the memory of FP16, enabling twice the batch size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Q11.  </w:t>
            </w:r>
            <w:r>
              <w:t>Adapter-based fine-tuning (</w:t>
            </w:r>
            <w:proofErr w:type="spellStart"/>
            <w:r>
              <w:t>Houlsby</w:t>
            </w:r>
            <w:proofErr w:type="spellEnd"/>
            <w:r>
              <w:t xml:space="preserve"> adapters) inserts small bottleneck modules into each transformer layer. The key design choice is: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Adapters replace the </w:t>
            </w:r>
            <w:r>
              <w:rPr>
                <w:sz w:val="21"/>
                <w:szCs w:val="21"/>
              </w:rPr>
              <w:t>self-attention layer entirely with a lightweight MLP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 down-projection reduces the hidden dimension to a bottleneck size r, a non-linearity is applied, and an up-projection restores the original dimension - with a residual skip connection ensuring nea</w:t>
            </w:r>
            <w:r>
              <w:rPr>
                <w:sz w:val="21"/>
                <w:szCs w:val="21"/>
              </w:rPr>
              <w:t>r-identity initialisation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Adapters are inserted only after the final transformer layer to modify the output distribution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Adapters share weights across all transformer layers to minimise parameter count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Q12.  </w:t>
            </w:r>
            <w:r>
              <w:t xml:space="preserve">DPO (Direct Preference </w:t>
            </w:r>
            <w:r>
              <w:t>Optimization) is an alternative to RLHF-PPO that: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Uses a reward model to score responses and updates the policy with proximal policy optimization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Directly optimises the LLM on human preference pairs (chosen vs rejected) using a closed-form </w:t>
            </w:r>
            <w:r>
              <w:rPr>
                <w:sz w:val="21"/>
                <w:szCs w:val="21"/>
              </w:rPr>
              <w:t>re-parameterization of the RL objective, eliminating the need for a separate reward model and RL training loop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Generates preference data synthetically using a larger teacher model and distils it into the student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Fine-tunes only the embedding laye</w:t>
            </w:r>
            <w:r>
              <w:rPr>
                <w:sz w:val="21"/>
                <w:szCs w:val="21"/>
              </w:rPr>
              <w:t>rs on preference data, leaving the transformer weights frozen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Q13.  </w:t>
            </w:r>
            <w:proofErr w:type="spellStart"/>
            <w:r>
              <w:t>SmoothQuant</w:t>
            </w:r>
            <w:proofErr w:type="spellEnd"/>
            <w:r>
              <w:t xml:space="preserve"> addresses the challenge of quantizing LLMs with activation outliers by: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Clipping all activation values above a fixed threshold before quantization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Mathematically </w:t>
            </w:r>
            <w:r>
              <w:rPr>
                <w:sz w:val="21"/>
                <w:szCs w:val="21"/>
              </w:rPr>
              <w:t>migrating quantization difficulty from activations to weights by multiplying a per-channel smoothing factor into the weights and dividing it from the activations, making both easier to quantize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Replacing INT8 activation quantization with FP8 to accomm</w:t>
            </w:r>
            <w:r>
              <w:rPr>
                <w:sz w:val="21"/>
                <w:szCs w:val="21"/>
              </w:rPr>
              <w:t>odate outliers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Dropping outlier tokens from the attention computation before quantization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Q14.  </w:t>
            </w:r>
            <w:r>
              <w:t>GGUF (formerly GGML) quantization formats used by llama.cpp differ from GPTQ primarily in that: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GGUF quantizes activations while GPTQ only </w:t>
            </w:r>
            <w:r>
              <w:rPr>
                <w:sz w:val="21"/>
                <w:szCs w:val="21"/>
              </w:rPr>
              <w:t>quantizes weights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GGUF stores quantized weights in a CPU-friendly format optimised for inference on consumer hardware (CPU/hybrid CPU-GPU), while GPTQ targets GPU-only inference with a specific </w:t>
            </w:r>
            <w:proofErr w:type="spellStart"/>
            <w:r>
              <w:rPr>
                <w:sz w:val="21"/>
                <w:szCs w:val="21"/>
              </w:rPr>
              <w:t>dequantization</w:t>
            </w:r>
            <w:proofErr w:type="spellEnd"/>
            <w:r>
              <w:rPr>
                <w:sz w:val="21"/>
                <w:szCs w:val="21"/>
              </w:rPr>
              <w:t xml:space="preserve"> kernel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GGUF uses 8-bit quantization </w:t>
            </w:r>
            <w:r>
              <w:rPr>
                <w:sz w:val="21"/>
                <w:szCs w:val="21"/>
              </w:rPr>
              <w:t>exclusively, while GPTQ supports 2-bit through 8-bit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GPTQ is a file format while GGUF is a quantization algorithm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Q15.  </w:t>
            </w:r>
            <w:r>
              <w:t xml:space="preserve">The </w:t>
            </w:r>
            <w:proofErr w:type="spellStart"/>
            <w:r>
              <w:t>sacreBLEU</w:t>
            </w:r>
            <w:proofErr w:type="spellEnd"/>
            <w:r>
              <w:t xml:space="preserve"> library is important in MT research because: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It computes a new neural BLEU variant that correlates better </w:t>
            </w:r>
            <w:r>
              <w:rPr>
                <w:sz w:val="21"/>
                <w:szCs w:val="21"/>
              </w:rPr>
              <w:t>with human judgments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It provides a standardised, reproducible BLEU implementation with defined tokenization rules, eliminating inconsistencies across different implementations that made scores incomparable across papers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It combines BLEU with </w:t>
            </w:r>
            <w:proofErr w:type="spellStart"/>
            <w:r>
              <w:rPr>
                <w:sz w:val="21"/>
                <w:szCs w:val="21"/>
              </w:rPr>
              <w:t>BERT</w:t>
            </w:r>
            <w:r>
              <w:rPr>
                <w:sz w:val="21"/>
                <w:szCs w:val="21"/>
              </w:rPr>
              <w:t>Score</w:t>
            </w:r>
            <w:proofErr w:type="spellEnd"/>
            <w:r>
              <w:rPr>
                <w:sz w:val="21"/>
                <w:szCs w:val="21"/>
              </w:rPr>
              <w:t xml:space="preserve"> into a single composite metric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It is a web service that crowdsources human evaluations for MT outputs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Q16.  </w:t>
            </w:r>
            <w:proofErr w:type="spellStart"/>
            <w:r>
              <w:t>BERTScore</w:t>
            </w:r>
            <w:proofErr w:type="spellEnd"/>
            <w:r>
              <w:t xml:space="preserve"> evaluates generated text by: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Fine-tuning BERT on the test set and computing its accuracy on held-out samples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Computing token-level cosine similarity between contextual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of hypothesis and reference tokens from a </w:t>
            </w:r>
            <w:proofErr w:type="spellStart"/>
            <w:r>
              <w:rPr>
                <w:sz w:val="21"/>
                <w:szCs w:val="21"/>
              </w:rPr>
              <w:t>pretrained</w:t>
            </w:r>
            <w:proofErr w:type="spellEnd"/>
            <w:r>
              <w:rPr>
                <w:sz w:val="21"/>
                <w:szCs w:val="21"/>
              </w:rPr>
              <w:t xml:space="preserve"> BERT-like model, using maximum similarity per token to compute precision, recall, and F1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Measuring the edit distance between the</w:t>
            </w:r>
            <w:r>
              <w:rPr>
                <w:sz w:val="21"/>
                <w:szCs w:val="21"/>
              </w:rPr>
              <w:t xml:space="preserve"> BERT </w:t>
            </w:r>
            <w:proofErr w:type="spellStart"/>
            <w:r>
              <w:rPr>
                <w:sz w:val="21"/>
                <w:szCs w:val="21"/>
              </w:rPr>
              <w:t>tokenizations</w:t>
            </w:r>
            <w:proofErr w:type="spellEnd"/>
            <w:r>
              <w:rPr>
                <w:sz w:val="21"/>
                <w:szCs w:val="21"/>
              </w:rPr>
              <w:t xml:space="preserve"> of hypothesis and reference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Using BERT's next-sentence prediction score to judge if the hypothesis follows from the reference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Q17.  </w:t>
            </w:r>
            <w:r>
              <w:t xml:space="preserve">For evaluating translation of domain-specific text (e.g., medical or legal), automatic metrics </w:t>
            </w:r>
            <w:r>
              <w:t>like BLEU are often insufficient because: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BLEU was not designed for texts longer than 50 tokens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Domain-specific translations may require exact technical terminology; BLEU's n-gram overlap cannot distinguish a wrong technical term from a synonym, </w:t>
            </w:r>
            <w:r>
              <w:rPr>
                <w:sz w:val="21"/>
                <w:szCs w:val="21"/>
              </w:rPr>
              <w:t>and no standard domain-specific reference set may exist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Legal and medical texts always contain numbers that BLEU ignores entirely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Automatic metrics only work for common language pairs like English-French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Q18.  </w:t>
            </w:r>
            <w:r>
              <w:t>Mixture of Experts (</w:t>
            </w:r>
            <w:proofErr w:type="spellStart"/>
            <w:r>
              <w:t>MoE</w:t>
            </w:r>
            <w:proofErr w:type="spellEnd"/>
            <w:r>
              <w:t xml:space="preserve">) </w:t>
            </w:r>
            <w:r>
              <w:t>architecture improves parameter efficiency in LLMs by: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Training multiple small models and averaging their outputs at inference time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B)  </w:t>
            </w:r>
            <w:r>
              <w:rPr>
                <w:sz w:val="21"/>
                <w:szCs w:val="21"/>
              </w:rPr>
              <w:t>Replacing each dense FFN layer with multiple expert FFN layers, using a router to activate only a sparse subset of</w:t>
            </w:r>
            <w:r>
              <w:rPr>
                <w:sz w:val="21"/>
                <w:szCs w:val="21"/>
              </w:rPr>
              <w:t xml:space="preserve"> experts (e.g., top-2) per token, so total parameters are large but FLOPs per token remain manageable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Assigning different transformer heads to different tasks and routing inputs based on task type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Using knowledge distillation from multiple teache</w:t>
            </w:r>
            <w:r>
              <w:rPr>
                <w:sz w:val="21"/>
                <w:szCs w:val="21"/>
              </w:rPr>
              <w:t>r models into one student model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Q19.  </w:t>
            </w:r>
            <w:r>
              <w:t>Beam search during text generation differs from greedy decoding in that: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Greedy decoding samples from the full probability distribution while beam search takes the </w:t>
            </w:r>
            <w:proofErr w:type="spellStart"/>
            <w:r>
              <w:rPr>
                <w:sz w:val="21"/>
                <w:szCs w:val="21"/>
              </w:rPr>
              <w:t>argmax</w:t>
            </w:r>
            <w:proofErr w:type="spellEnd"/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Beam search maintains K candidate</w:t>
            </w:r>
            <w:r>
              <w:rPr>
                <w:sz w:val="21"/>
                <w:szCs w:val="21"/>
              </w:rPr>
              <w:t xml:space="preserve"> sequences at each step, expanding all of them and keeping the top-K by cumulative log-probability, trading compute for higher quality compared to </w:t>
            </w:r>
            <w:proofErr w:type="spellStart"/>
            <w:r>
              <w:rPr>
                <w:sz w:val="21"/>
                <w:szCs w:val="21"/>
              </w:rPr>
              <w:t>greedy's</w:t>
            </w:r>
            <w:proofErr w:type="spellEnd"/>
            <w:r>
              <w:rPr>
                <w:sz w:val="21"/>
                <w:szCs w:val="21"/>
              </w:rPr>
              <w:t xml:space="preserve"> single-path search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Beam search is stochastic; greedy decoding is deterministic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Beam search</w:t>
            </w:r>
            <w:r>
              <w:rPr>
                <w:sz w:val="21"/>
                <w:szCs w:val="21"/>
              </w:rPr>
              <w:t xml:space="preserve"> runs multiple models in parallel; greedy uses one model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Q20.  </w:t>
            </w:r>
            <w:r>
              <w:t>In a RAG pipeline evaluation framework like RAGAS, "answer relevance" measures: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Whether the retrieved context is topically related to the query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Whether the generated answer </w:t>
            </w:r>
            <w:r>
              <w:rPr>
                <w:sz w:val="21"/>
                <w:szCs w:val="21"/>
              </w:rPr>
              <w:t>directly and completely addresses the user's question - independently of whether the answer is factually grounded in the context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BLEU score between the generated answer and a gold reference answer</w:t>
            </w:r>
          </w:p>
        </w:tc>
      </w:tr>
      <w:tr w:rsidR="00CB572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CB572C" w:rsidRDefault="002508F8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cosine similarity between the query embed</w:t>
            </w:r>
            <w:r>
              <w:rPr>
                <w:sz w:val="21"/>
                <w:szCs w:val="21"/>
              </w:rPr>
              <w:t>ding and the answer embedding</w:t>
            </w:r>
          </w:p>
        </w:tc>
      </w:tr>
      <w:tr w:rsidR="00CB572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CB572C" w:rsidRDefault="00CB572C">
            <w:pPr>
              <w:widowControl w:val="0"/>
            </w:pPr>
          </w:p>
        </w:tc>
      </w:tr>
    </w:tbl>
    <w:p w:rsidR="00CB572C" w:rsidRDefault="00CB572C">
      <w:pPr>
        <w:spacing w:after="40"/>
      </w:pPr>
    </w:p>
    <w:p w:rsidR="00CB572C" w:rsidRDefault="002508F8">
      <w:r>
        <w:br w:type="page"/>
      </w:r>
    </w:p>
    <w:p w:rsidR="00CB572C" w:rsidRDefault="002508F8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lastRenderedPageBreak/>
        <w:t>PART B: Coding Questions</w:t>
      </w:r>
    </w:p>
    <w:p w:rsidR="00CB572C" w:rsidRDefault="00CB572C">
      <w:pPr>
        <w:spacing w:after="80"/>
      </w:pPr>
    </w:p>
    <w:p w:rsidR="00CB572C" w:rsidRDefault="002508F8">
      <w:pPr>
        <w:spacing w:before="220" w:after="60"/>
      </w:pPr>
      <w:r>
        <w:rPr>
          <w:b/>
          <w:bCs/>
          <w:color w:val="1F4E79"/>
          <w:sz w:val="24"/>
          <w:szCs w:val="24"/>
        </w:rPr>
        <w:t>Coding Q1 - Find Peak Element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Problem Statement</w:t>
      </w:r>
    </w:p>
    <w:p w:rsidR="00CB572C" w:rsidRDefault="002508F8">
      <w:pPr>
        <w:spacing w:after="80"/>
      </w:pPr>
      <w:r>
        <w:t>A peak element in an array is an element that is strictly greater than its neighbours.</w:t>
      </w:r>
    </w:p>
    <w:p w:rsidR="00CB572C" w:rsidRDefault="002508F8">
      <w:pPr>
        <w:spacing w:after="80"/>
      </w:pPr>
      <w:r>
        <w:t xml:space="preserve">Given a 0-indexed integer array </w:t>
      </w:r>
      <w:proofErr w:type="spellStart"/>
      <w:r>
        <w:t>nums</w:t>
      </w:r>
      <w:proofErr w:type="spellEnd"/>
      <w:r>
        <w:t xml:space="preserve">, write a function </w:t>
      </w:r>
      <w:proofErr w:type="spellStart"/>
      <w:r>
        <w:t>find_peak_</w:t>
      </w:r>
      <w:proofErr w:type="gramStart"/>
      <w:r>
        <w:t>element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) that returns the index of any one peak element.</w:t>
      </w:r>
    </w:p>
    <w:p w:rsidR="00CB572C" w:rsidRDefault="002508F8">
      <w:pPr>
        <w:spacing w:after="80"/>
      </w:pPr>
      <w:r>
        <w:t xml:space="preserve">You may assume that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-1] = </w:t>
      </w:r>
      <w:proofErr w:type="spellStart"/>
      <w:r>
        <w:t>nums</w:t>
      </w:r>
      <w:proofErr w:type="spellEnd"/>
      <w:r>
        <w:t>[n] = -infinity (elements beyond boundaries are negative infinity).</w:t>
      </w:r>
    </w:p>
    <w:p w:rsidR="00CB572C" w:rsidRDefault="002508F8">
      <w:pPr>
        <w:spacing w:after="80"/>
      </w:pPr>
      <w:r>
        <w:t xml:space="preserve">Your solution must run in </w:t>
      </w:r>
      <w:proofErr w:type="gramStart"/>
      <w:r>
        <w:t>O(</w:t>
      </w:r>
      <w:proofErr w:type="gramEnd"/>
      <w:r>
        <w:t>log n) time. If the array contains multiple peaks, re</w:t>
      </w:r>
      <w:r>
        <w:t>turning any one index is acceptable.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Constraints</w:t>
      </w:r>
    </w:p>
    <w:p w:rsidR="00CB572C" w:rsidRDefault="002508F8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1000</w:t>
      </w:r>
    </w:p>
    <w:p w:rsidR="00CB572C" w:rsidRDefault="002508F8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-2^31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2^31 - 1</w:t>
      </w:r>
    </w:p>
    <w:p w:rsidR="00CB572C" w:rsidRDefault="002508F8">
      <w:pPr>
        <w:pStyle w:val="ListParagraph"/>
        <w:numPr>
          <w:ilvl w:val="0"/>
          <w:numId w:val="1"/>
        </w:numPr>
      </w:pP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] !=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[i+1] for all valid </w:t>
      </w:r>
      <w:proofErr w:type="spellStart"/>
      <w:r>
        <w:rPr>
          <w:sz w:val="21"/>
          <w:szCs w:val="21"/>
        </w:rPr>
        <w:t>i</w:t>
      </w:r>
      <w:proofErr w:type="spellEnd"/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[1, 2, 3, 1]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2   (index 2, value 3 is a peak)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[1, 2, 1, 3, 5, 6, 4]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5   (index 5, value 6 is a peak; index 1 also valid)</w:t>
            </w:r>
          </w:p>
        </w:tc>
      </w:tr>
    </w:tbl>
    <w:p w:rsidR="00CB572C" w:rsidRDefault="00CB572C">
      <w:pPr>
        <w:spacing w:after="160"/>
      </w:pPr>
    </w:p>
    <w:p w:rsidR="00CB572C" w:rsidRDefault="002508F8">
      <w:pPr>
        <w:spacing w:before="220" w:after="60"/>
      </w:pPr>
      <w:r>
        <w:rPr>
          <w:b/>
          <w:bCs/>
          <w:color w:val="1F4E79"/>
          <w:sz w:val="24"/>
          <w:szCs w:val="24"/>
        </w:rPr>
        <w:t>Coding Q2 - Group Anagrams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Problem Statement</w:t>
      </w:r>
    </w:p>
    <w:p w:rsidR="00CB572C" w:rsidRDefault="002508F8">
      <w:pPr>
        <w:spacing w:after="80"/>
      </w:pPr>
      <w:r>
        <w:t xml:space="preserve">Given an array of strings </w:t>
      </w:r>
      <w:proofErr w:type="spellStart"/>
      <w:r>
        <w:t>strs</w:t>
      </w:r>
      <w:proofErr w:type="spellEnd"/>
      <w:r>
        <w:t>, group all strings that are anagrams of each other into the same group and ret</w:t>
      </w:r>
      <w:r>
        <w:t>urn the list of groups.</w:t>
      </w:r>
    </w:p>
    <w:p w:rsidR="00CB572C" w:rsidRDefault="002508F8">
      <w:pPr>
        <w:spacing w:after="80"/>
      </w:pPr>
      <w:r>
        <w:t>Two strings are anagrams if they contain the same characters with the same frequencies.</w:t>
      </w:r>
    </w:p>
    <w:p w:rsidR="00CB572C" w:rsidRDefault="002508F8">
      <w:pPr>
        <w:spacing w:after="80"/>
      </w:pPr>
      <w:r>
        <w:t>The output groups and strings within each group may be returned in any order.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Constraints</w:t>
      </w:r>
    </w:p>
    <w:p w:rsidR="00CB572C" w:rsidRDefault="002508F8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strs.length</w:t>
      </w:r>
      <w:proofErr w:type="spellEnd"/>
      <w:r>
        <w:rPr>
          <w:sz w:val="21"/>
          <w:szCs w:val="21"/>
        </w:rPr>
        <w:t xml:space="preserve"> &lt;= 10^4</w:t>
      </w:r>
    </w:p>
    <w:p w:rsidR="00CB572C" w:rsidRDefault="002508F8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0 &lt;= </w:t>
      </w:r>
      <w:proofErr w:type="spellStart"/>
      <w:r>
        <w:rPr>
          <w:sz w:val="21"/>
          <w:szCs w:val="21"/>
        </w:rPr>
        <w:t>strs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].length &lt;= 100</w:t>
      </w:r>
    </w:p>
    <w:p w:rsidR="00CB572C" w:rsidRDefault="002508F8">
      <w:pPr>
        <w:pStyle w:val="ListParagraph"/>
        <w:numPr>
          <w:ilvl w:val="0"/>
          <w:numId w:val="1"/>
        </w:numPr>
      </w:pPr>
      <w:proofErr w:type="spellStart"/>
      <w:r>
        <w:rPr>
          <w:sz w:val="21"/>
          <w:szCs w:val="21"/>
        </w:rPr>
        <w:t>strs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consists of lowercase English letters only</w:t>
      </w:r>
    </w:p>
    <w:p w:rsidR="00CB572C" w:rsidRDefault="002508F8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Expected time complexity: O(n x k log k) where k is the max string length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["eat","tea","tan","ate","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","bat"]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[["bat"],["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","tan"],["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ate"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,"eat","tea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"]]  (any group order)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[""]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Output: [[""]]</w:t>
            </w:r>
          </w:p>
        </w:tc>
      </w:tr>
    </w:tbl>
    <w:p w:rsidR="00CB572C" w:rsidRDefault="00CB572C">
      <w:pPr>
        <w:spacing w:after="160"/>
      </w:pPr>
    </w:p>
    <w:p w:rsidR="00CB572C" w:rsidRDefault="002508F8">
      <w:pPr>
        <w:spacing w:before="220" w:after="60"/>
      </w:pPr>
      <w:r>
        <w:rPr>
          <w:b/>
          <w:bCs/>
          <w:color w:val="1F4E79"/>
          <w:sz w:val="24"/>
          <w:szCs w:val="24"/>
        </w:rPr>
        <w:t>Coding Q3 - Kth Largest Element in an Array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Problem Statement</w:t>
      </w:r>
    </w:p>
    <w:p w:rsidR="00CB572C" w:rsidRDefault="002508F8">
      <w:pPr>
        <w:spacing w:after="80"/>
      </w:pPr>
      <w:r>
        <w:t xml:space="preserve">Given an unsorted integer array </w:t>
      </w:r>
      <w:proofErr w:type="spellStart"/>
      <w:r>
        <w:t>nums</w:t>
      </w:r>
      <w:proofErr w:type="spellEnd"/>
      <w:r>
        <w:t xml:space="preserve"> and an integer k, return the k-</w:t>
      </w:r>
      <w:proofErr w:type="spellStart"/>
      <w:r>
        <w:t>th</w:t>
      </w:r>
      <w:proofErr w:type="spellEnd"/>
      <w:r>
        <w:t xml:space="preserve"> largest element in the array.</w:t>
      </w:r>
    </w:p>
    <w:p w:rsidR="00CB572C" w:rsidRDefault="002508F8">
      <w:pPr>
        <w:spacing w:after="80"/>
      </w:pPr>
      <w:r>
        <w:t xml:space="preserve">Note that it is </w:t>
      </w:r>
      <w:r>
        <w:t>the k-</w:t>
      </w:r>
      <w:proofErr w:type="spellStart"/>
      <w:r>
        <w:t>th</w:t>
      </w:r>
      <w:proofErr w:type="spellEnd"/>
      <w:r>
        <w:t xml:space="preserve"> largest in sorted order, not the k-</w:t>
      </w:r>
      <w:proofErr w:type="spellStart"/>
      <w:r>
        <w:t>th</w:t>
      </w:r>
      <w:proofErr w:type="spellEnd"/>
      <w:r>
        <w:t xml:space="preserve"> distinct element.</w:t>
      </w:r>
    </w:p>
    <w:p w:rsidR="00CB572C" w:rsidRDefault="002508F8">
      <w:pPr>
        <w:spacing w:after="80"/>
      </w:pPr>
      <w:r>
        <w:t>You must solve this without fully sorting the array - implement a partition-based (</w:t>
      </w:r>
      <w:proofErr w:type="spellStart"/>
      <w:r>
        <w:t>Quickselect</w:t>
      </w:r>
      <w:proofErr w:type="spellEnd"/>
      <w:r>
        <w:t>) or heap-based approach from scratch.</w:t>
      </w:r>
    </w:p>
    <w:p w:rsidR="00CB572C" w:rsidRDefault="002508F8">
      <w:pPr>
        <w:spacing w:after="80"/>
      </w:pPr>
      <w:r>
        <w:t xml:space="preserve">Do NOT use built-in sort functions as your primary </w:t>
      </w:r>
      <w:r>
        <w:t>solution.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Constraints</w:t>
      </w:r>
    </w:p>
    <w:p w:rsidR="00CB572C" w:rsidRDefault="002508F8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1 &lt;= k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10^4</w:t>
      </w:r>
    </w:p>
    <w:p w:rsidR="00CB572C" w:rsidRDefault="002508F8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-10^4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10^4</w:t>
      </w:r>
    </w:p>
    <w:p w:rsidR="00CB572C" w:rsidRDefault="002508F8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Expected average time complexity: O(n) (</w:t>
      </w:r>
      <w:proofErr w:type="spellStart"/>
      <w:r>
        <w:rPr>
          <w:sz w:val="21"/>
          <w:szCs w:val="21"/>
        </w:rPr>
        <w:t>Quickselect</w:t>
      </w:r>
      <w:proofErr w:type="spellEnd"/>
      <w:r>
        <w:rPr>
          <w:sz w:val="21"/>
          <w:szCs w:val="21"/>
        </w:rPr>
        <w:t>) or O(n log k) (heap approach)</w:t>
      </w:r>
    </w:p>
    <w:p w:rsidR="00CB572C" w:rsidRDefault="00CB572C">
      <w:pPr>
        <w:spacing w:after="80"/>
      </w:pPr>
    </w:p>
    <w:p w:rsidR="00CB572C" w:rsidRDefault="002508F8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[3, 2, 1, 5, 6, 4],  k = 2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5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[3, 2, 3, 1, 2, 4, 5, 5, 6],  k = 4</w:t>
            </w:r>
          </w:p>
        </w:tc>
      </w:tr>
      <w:tr w:rsidR="00CB572C">
        <w:tc>
          <w:tcPr>
            <w:tcW w:w="9360" w:type="dxa"/>
            <w:shd w:val="clear" w:color="auto" w:fill="F2F2F2"/>
          </w:tcPr>
          <w:p w:rsidR="00CB572C" w:rsidRDefault="002508F8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4</w:t>
            </w:r>
          </w:p>
        </w:tc>
      </w:tr>
    </w:tbl>
    <w:p w:rsidR="00CB572C" w:rsidRDefault="00CB572C">
      <w:pPr>
        <w:spacing w:after="160"/>
      </w:pPr>
    </w:p>
    <w:sectPr w:rsidR="00CB572C">
      <w:pgSz w:w="12240" w:h="15840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CC300A"/>
    <w:multiLevelType w:val="multilevel"/>
    <w:tmpl w:val="6444F618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C806A84"/>
    <w:multiLevelType w:val="multilevel"/>
    <w:tmpl w:val="55BEC5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72C"/>
    <w:rsid w:val="002508F8"/>
    <w:rsid w:val="00CB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C8731F-077E-412D-A093-412C2CAF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rFonts w:ascii="Arial" w:eastAsia="Arial" w:hAnsi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1980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Srivardhan</cp:lastModifiedBy>
  <cp:revision>3</cp:revision>
  <dcterms:created xsi:type="dcterms:W3CDTF">2026-03-23T10:41:00Z</dcterms:created>
  <dcterms:modified xsi:type="dcterms:W3CDTF">2026-04-01T05:43:00Z</dcterms:modified>
  <dc:language>en-IN</dc:language>
</cp:coreProperties>
</file>