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A61955"/>
          <w:sz w:val="20"/>
          <w:szCs w:val="20"/>
        </w:rPr>
        <w:t xml:space="preserve">PIIGuard  ·  CSED490E term project</w:t>
      </w:r>
    </w:p>
    <w:p>
      <w:pPr>
        <w:spacing w:after="60"/>
      </w:pPr>
      <w:r>
        <w:rPr>
          <w:b/>
          <w:bCs/>
          <w:sz w:val="34"/>
          <w:szCs w:val="34"/>
        </w:rPr>
        <w:t xml:space="preserve">PII Filter: Project Proposal</w:t>
      </w:r>
    </w:p>
    <w:p>
      <w:pPr>
        <w:pBdr>
          <w:bottom w:val="single" w:color="A61955" w:sz="8" w:space="6"/>
        </w:pBdr>
        <w:spacing w:after="160"/>
      </w:pPr>
      <w:r>
        <w:rPr>
          <w:color w:val="55524E"/>
          <w:sz w:val="17"/>
          <w:szCs w:val="17"/>
        </w:rPr>
        <w:t xml:space="preserve">Merged plan  ·  October 14, 2026</w:t>
      </w:r>
    </w:p>
    <w:p>
      <w:pPr>
        <w:spacing w:after="70" w:line="258"/>
      </w:pPr>
      <w:r>
        <w:rPr>
          <w:b/>
          <w:bCs/>
        </w:rPr>
        <w:t xml:space="preserve">About this document.</w:t>
      </w:r>
      <w:r>
        <w:t xml:space="preserve"> Our whole proposal in one place, in the same order as the slides: problem statement, background, motivation, metric and benchmark, experiment design, and next steps. It reflects the decisions of our latest team meeting: two research questions, three evaluation datasets, three baselines, unmasking shown in the demo instead of benchmarked, a toy experiment that shows feasibility instead of scores, and augmentation as an optional extra (Appendix B).</w:t>
      </w:r>
    </w:p>
    <w:p>
      <w:pPr>
        <w:pStyle w:val="Heading1"/>
        <w:keepNext/>
        <w:keepLines/>
      </w:pPr>
      <w:r>
        <w:t xml:space="preserve">1. Problem Statement</w:t>
      </w:r>
    </w:p>
    <w:p>
      <w:pPr>
        <w:spacing w:after="70" w:line="258"/>
      </w:pPr>
      <w:r>
        <w:t xml:space="preserve">People paste names, emails, phone numbers and addresses into chatbot prompts, and the prompt goes to a model running in someone else's cloud. Our project is a </w:t>
      </w:r>
      <w:r>
        <w:rPr>
          <w:b/>
          <w:bCs/>
        </w:rPr>
        <w:t xml:space="preserve">PII filter</w:t>
      </w:r>
      <w:r>
        <w:t xml:space="preserve"> that runs on the user's device: it finds personal data (PII) in the prompt, replaces each value with a placeholder before the prompt leaves the device, and puts the real values back into the chatbot's answer.</w:t>
      </w:r>
    </w:p>
    <w:p>
      <w:pPr>
        <w:keepNext/>
        <w:spacing w:after="40" w:before="60"/>
      </w:pPr>
      <w:r>
        <w:rPr>
          <w:i/>
          <w:iCs/>
          <w:color w:val="55524E"/>
          <w:sz w:val="14"/>
          <w:szCs w:val="14"/>
        </w:rPr>
        <w:t xml:space="preserve">Table 1. A concrete example. The LLM only ever sees placeholders (shaded rows).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8006"/>
      </w:tblGrid>
      <w:tr>
        <w:trPr>
          <w:cantSplit/>
          <w:tblHeader/>
        </w:trPr>
        <w:tc>
          <w:tcPr>
            <w:tcW w:type="dxa" w:w="15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Step</w:t>
            </w:r>
          </w:p>
        </w:tc>
        <w:tc>
          <w:tcPr>
            <w:tcW w:type="dxa" w:w="8006"/>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Text</w:t>
            </w:r>
          </w:p>
        </w:tc>
      </w:tr>
      <w:tr>
        <w:trPr>
          <w:cantSplit/>
        </w:trPr>
        <w:tc>
          <w:tcPr>
            <w:tcW w:type="dxa" w:w="1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You write</w:t>
            </w:r>
          </w:p>
        </w:tc>
        <w:tc>
          <w:tcPr>
            <w:tcW w:type="dxa" w:w="80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Write an email to Dr. Kim (kim.j@example.com) asking to move my appointment to Friday.</w:t>
            </w:r>
          </w:p>
        </w:tc>
      </w:tr>
      <w:tr>
        <w:trPr>
          <w:cantSplit/>
        </w:trPr>
        <w:tc>
          <w:tcPr>
            <w:tcW w:type="dxa" w:w="1500"/>
            <w:tcBorders>
              <w:top w:val="single" w:color="C9C5BF" w:sz="4"/>
              <w:left w:val="single" w:color="C9C5BF" w:sz="4"/>
              <w:bottom w:val="single" w:color="C9C5BF" w:sz="4"/>
              <w:right w:val="single" w:color="C9C5BF" w:sz="4"/>
            </w:tcBorders>
            <w:shd w:fill="F8EEF2" w:color="auto" w:val="clear"/>
            <w:tcMar>
              <w:top w:type="dxa" w:w="28"/>
              <w:left w:type="dxa" w:w="80"/>
              <w:bottom w:type="dxa" w:w="28"/>
              <w:right w:type="dxa" w:w="80"/>
            </w:tcMar>
          </w:tcPr>
          <w:p>
            <w:pPr>
              <w:keepNext/>
              <w:spacing w:after="0" w:line="228"/>
            </w:pPr>
            <w:r>
              <w:rPr>
                <w:b/>
                <w:bCs/>
                <w:sz w:val="15"/>
                <w:szCs w:val="15"/>
              </w:rPr>
              <w:t xml:space="preserve">LLM receives</w:t>
            </w:r>
          </w:p>
        </w:tc>
        <w:tc>
          <w:tcPr>
            <w:tcW w:type="dxa" w:w="8006"/>
            <w:tcBorders>
              <w:top w:val="single" w:color="C9C5BF" w:sz="4"/>
              <w:left w:val="single" w:color="C9C5BF" w:sz="4"/>
              <w:bottom w:val="single" w:color="C9C5BF" w:sz="4"/>
              <w:right w:val="single" w:color="C9C5BF" w:sz="4"/>
            </w:tcBorders>
            <w:shd w:fill="F8EEF2" w:color="auto" w:val="clear"/>
            <w:tcMar>
              <w:top w:type="dxa" w:w="28"/>
              <w:left w:type="dxa" w:w="80"/>
              <w:bottom w:type="dxa" w:w="28"/>
              <w:right w:type="dxa" w:w="80"/>
            </w:tcMar>
          </w:tcPr>
          <w:p>
            <w:pPr>
              <w:keepNext/>
              <w:spacing w:after="0" w:line="228"/>
            </w:pPr>
            <w:r>
              <w:rPr>
                <w:b w:val="false"/>
                <w:bCs w:val="false"/>
                <w:sz w:val="15"/>
                <w:szCs w:val="15"/>
              </w:rPr>
              <w:t xml:space="preserve">Write an email to Dr. </w:t>
            </w:r>
            <w:r>
              <w:rPr>
                <w:rFonts w:ascii="Consolas" w:cs="Consolas" w:eastAsia="Consolas" w:hAnsi="Consolas"/>
                <w:b w:val="false"/>
                <w:bCs w:val="false"/>
                <w:sz w:val="14"/>
                <w:szCs w:val="14"/>
              </w:rPr>
              <w:t xml:space="preserve">&lt;NAME_1&gt;</w:t>
            </w:r>
            <w:r>
              <w:rPr>
                <w:b w:val="false"/>
                <w:bCs w:val="false"/>
                <w:sz w:val="15"/>
                <w:szCs w:val="15"/>
              </w:rPr>
              <w:t xml:space="preserve"> (</w:t>
            </w:r>
            <w:r>
              <w:rPr>
                <w:rFonts w:ascii="Consolas" w:cs="Consolas" w:eastAsia="Consolas" w:hAnsi="Consolas"/>
                <w:b w:val="false"/>
                <w:bCs w:val="false"/>
                <w:sz w:val="14"/>
                <w:szCs w:val="14"/>
              </w:rPr>
              <w:t xml:space="preserve">&lt;EMAIL_1&gt;</w:t>
            </w:r>
            <w:r>
              <w:rPr>
                <w:b w:val="false"/>
                <w:bCs w:val="false"/>
                <w:sz w:val="15"/>
                <w:szCs w:val="15"/>
              </w:rPr>
              <w:t xml:space="preserve">) asking to move my appointment to Friday.</w:t>
            </w:r>
          </w:p>
        </w:tc>
      </w:tr>
      <w:tr>
        <w:trPr>
          <w:cantSplit/>
        </w:trPr>
        <w:tc>
          <w:tcPr>
            <w:tcW w:type="dxa" w:w="1500"/>
            <w:tcBorders>
              <w:top w:val="single" w:color="C9C5BF" w:sz="4"/>
              <w:left w:val="single" w:color="C9C5BF" w:sz="4"/>
              <w:bottom w:val="single" w:color="C9C5BF" w:sz="4"/>
              <w:right w:val="single" w:color="C9C5BF" w:sz="4"/>
            </w:tcBorders>
            <w:shd w:fill="F8EEF2" w:color="auto" w:val="clear"/>
            <w:tcMar>
              <w:top w:type="dxa" w:w="28"/>
              <w:left w:type="dxa" w:w="80"/>
              <w:bottom w:type="dxa" w:w="28"/>
              <w:right w:type="dxa" w:w="80"/>
            </w:tcMar>
          </w:tcPr>
          <w:p>
            <w:pPr>
              <w:keepNext/>
              <w:spacing w:after="0" w:line="228"/>
            </w:pPr>
            <w:r>
              <w:rPr>
                <w:b/>
                <w:bCs/>
                <w:sz w:val="15"/>
                <w:szCs w:val="15"/>
              </w:rPr>
              <w:t xml:space="preserve">LLM answers</w:t>
            </w:r>
          </w:p>
        </w:tc>
        <w:tc>
          <w:tcPr>
            <w:tcW w:type="dxa" w:w="8006"/>
            <w:tcBorders>
              <w:top w:val="single" w:color="C9C5BF" w:sz="4"/>
              <w:left w:val="single" w:color="C9C5BF" w:sz="4"/>
              <w:bottom w:val="single" w:color="C9C5BF" w:sz="4"/>
              <w:right w:val="single" w:color="C9C5BF" w:sz="4"/>
            </w:tcBorders>
            <w:shd w:fill="F8EEF2" w:color="auto" w:val="clear"/>
            <w:tcMar>
              <w:top w:type="dxa" w:w="28"/>
              <w:left w:type="dxa" w:w="80"/>
              <w:bottom w:type="dxa" w:w="28"/>
              <w:right w:type="dxa" w:w="80"/>
            </w:tcMar>
          </w:tcPr>
          <w:p>
            <w:pPr>
              <w:keepNext/>
              <w:spacing w:after="0" w:line="228"/>
            </w:pPr>
            <w:r>
              <w:rPr>
                <w:b w:val="false"/>
                <w:bCs w:val="false"/>
                <w:sz w:val="15"/>
                <w:szCs w:val="15"/>
              </w:rPr>
              <w:t xml:space="preserve">To: </w:t>
            </w:r>
            <w:r>
              <w:rPr>
                <w:rFonts w:ascii="Consolas" w:cs="Consolas" w:eastAsia="Consolas" w:hAnsi="Consolas"/>
                <w:b w:val="false"/>
                <w:bCs w:val="false"/>
                <w:sz w:val="14"/>
                <w:szCs w:val="14"/>
              </w:rPr>
              <w:t xml:space="preserve">&lt;EMAIL_1&gt;</w:t>
            </w:r>
            <w:r>
              <w:rPr>
                <w:b w:val="false"/>
                <w:bCs w:val="false"/>
                <w:sz w:val="15"/>
                <w:szCs w:val="15"/>
              </w:rPr>
              <w:t xml:space="preserve">  Dear Dr. </w:t>
            </w:r>
            <w:r>
              <w:rPr>
                <w:rFonts w:ascii="Consolas" w:cs="Consolas" w:eastAsia="Consolas" w:hAnsi="Consolas"/>
                <w:b w:val="false"/>
                <w:bCs w:val="false"/>
                <w:sz w:val="14"/>
                <w:szCs w:val="14"/>
              </w:rPr>
              <w:t xml:space="preserve">&lt;NAME_1&gt;</w:t>
            </w:r>
            <w:r>
              <w:rPr>
                <w:b w:val="false"/>
                <w:bCs w:val="false"/>
                <w:sz w:val="15"/>
                <w:szCs w:val="15"/>
              </w:rPr>
              <w:t xml:space="preserve">, I am writing to ask whether my appointment could be moved to Friday…</w:t>
            </w:r>
          </w:p>
        </w:tc>
      </w:tr>
      <w:tr>
        <w:trPr>
          <w:cantSplit/>
        </w:trPr>
        <w:tc>
          <w:tcPr>
            <w:tcW w:type="dxa" w:w="1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bCs/>
                <w:sz w:val="15"/>
                <w:szCs w:val="15"/>
              </w:rPr>
              <w:t xml:space="preserve">You read</w:t>
            </w:r>
          </w:p>
        </w:tc>
        <w:tc>
          <w:tcPr>
            <w:tcW w:type="dxa" w:w="80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val="false"/>
                <w:bCs w:val="false"/>
                <w:sz w:val="15"/>
                <w:szCs w:val="15"/>
              </w:rPr>
              <w:t xml:space="preserve">To: kim.j@example.com  Dear Dr. Kim, I am writing to ask whether my appointment could be moved to Friday…</w:t>
            </w:r>
          </w:p>
        </w:tc>
      </w:tr>
    </w:tbl>
    <w:p>
      <w:pPr>
        <w:spacing w:after="70" w:before="80" w:line="258"/>
      </w:pPr>
      <w:r>
        <w:rPr>
          <w:b/>
          <w:bCs/>
        </w:rPr>
        <w:t xml:space="preserve">Pipeline.</w:t>
      </w:r>
      <w:r>
        <w:t xml:space="preserve"> User input → </w:t>
      </w:r>
      <w:r>
        <w:rPr>
          <w:b/>
          <w:bCs/>
        </w:rPr>
        <w:t xml:space="preserve">detector</w:t>
      </w:r>
      <w:r>
        <w:t xml:space="preserve"> (an NER model that marks PII) → </w:t>
      </w:r>
      <w:r>
        <w:rPr>
          <w:b/>
          <w:bCs/>
        </w:rPr>
        <w:t xml:space="preserve">masking</w:t>
      </w:r>
      <w:r>
        <w:t xml:space="preserve"> (each value replaced by a numbered placeholder; the placeholder-to-value mapping stays on the device) → masked prompt to the </w:t>
      </w:r>
      <w:r>
        <w:rPr>
          <w:b/>
          <w:bCs/>
        </w:rPr>
        <w:t xml:space="preserve">cloud LLM</w:t>
      </w:r>
      <w:r>
        <w:t xml:space="preserve"> → masked answer → </w:t>
      </w:r>
      <w:r>
        <w:rPr>
          <w:b/>
          <w:bCs/>
        </w:rPr>
        <w:t xml:space="preserve">unmasking</w:t>
      </w:r>
      <w:r>
        <w:t xml:space="preserve"> (placeholders replaced by the stored values) → output.</w:t>
      </w:r>
    </w:p>
    <w:p>
      <w:pPr>
        <w:keepNext/>
        <w:spacing w:after="40" w:before="70"/>
      </w:pPr>
      <w:r>
        <w:rPr>
          <w:b/>
          <w:bCs/>
          <w:color w:val="222222"/>
          <w:sz w:val="18"/>
          <w:szCs w:val="18"/>
        </w:rPr>
        <w:t xml:space="preserve">Terms used in this document</w:t>
      </w:r>
    </w:p>
    <w:p>
      <w:pPr>
        <w:pStyle w:val="ListParagraph"/>
        <w:numPr>
          <w:ilvl w:val="0"/>
          <w:numId w:val="2"/>
        </w:numPr>
        <w:spacing w:after="45" w:line="252"/>
      </w:pPr>
      <w:r>
        <w:rPr>
          <w:b/>
          <w:bCs/>
        </w:rPr>
        <w:t xml:space="preserve">PII:</w:t>
      </w:r>
      <w:r>
        <w:t xml:space="preserve"> information that can identify a person (McCallister et al., 2010). We use six labels: NAME, EMAIL, PHONE, ADDRESS, DATE_OF_BIRTH, CARD_NUMBER.</w:t>
      </w:r>
    </w:p>
    <w:p>
      <w:pPr>
        <w:pStyle w:val="ListParagraph"/>
        <w:numPr>
          <w:ilvl w:val="0"/>
          <w:numId w:val="2"/>
        </w:numPr>
        <w:spacing w:after="45" w:line="252"/>
      </w:pPr>
      <w:r>
        <w:rPr>
          <w:b/>
          <w:bCs/>
        </w:rPr>
        <w:t xml:space="preserve">Span:</w:t>
      </w:r>
      <w:r>
        <w:t xml:space="preserve"> a piece of text given by its start and end character positions, e.g. characters 26–48 = </w:t>
      </w:r>
      <w:r>
        <w:rPr>
          <w:rFonts w:ascii="Consolas" w:cs="Consolas" w:eastAsia="Consolas" w:hAnsi="Consolas"/>
          <w:sz w:val="17"/>
          <w:szCs w:val="17"/>
        </w:rPr>
        <w:t xml:space="preserve">minji.park@example.com</w:t>
      </w:r>
      <w:r>
        <w:t xml:space="preserve">. A detector outputs spans with labels. A </w:t>
      </w:r>
      <w:r>
        <w:rPr>
          <w:b/>
          <w:bCs/>
        </w:rPr>
        <w:t xml:space="preserve">gold span</w:t>
      </w:r>
      <w:r>
        <w:t xml:space="preserve"> is the correct answer marked in the dataset.</w:t>
      </w:r>
    </w:p>
    <w:p>
      <w:pPr>
        <w:pStyle w:val="ListParagraph"/>
        <w:numPr>
          <w:ilvl w:val="0"/>
          <w:numId w:val="2"/>
        </w:numPr>
        <w:spacing w:after="45" w:line="252"/>
      </w:pPr>
      <w:r>
        <w:rPr>
          <w:b/>
          <w:bCs/>
        </w:rPr>
        <w:t xml:space="preserve">Strict matching:</w:t>
      </w:r>
      <w:r>
        <w:t xml:space="preserve"> a detected span counts as correct only if its start, end and label are exactly those of a gold span. Finding </w:t>
      </w:r>
      <w:r>
        <w:rPr>
          <w:rFonts w:ascii="Consolas" w:cs="Consolas" w:eastAsia="Consolas" w:hAnsi="Consolas"/>
          <w:sz w:val="17"/>
          <w:szCs w:val="17"/>
        </w:rPr>
        <w:t xml:space="preserve">Minji</w:t>
      </w:r>
      <w:r>
        <w:t xml:space="preserve"> in </w:t>
      </w:r>
      <w:r>
        <w:rPr>
          <w:rFonts w:ascii="Consolas" w:cs="Consolas" w:eastAsia="Consolas" w:hAnsi="Consolas"/>
          <w:sz w:val="17"/>
          <w:szCs w:val="17"/>
        </w:rPr>
        <w:t xml:space="preserve">Minji Park</w:t>
      </w:r>
      <w:r>
        <w:t xml:space="preserve"> is a miss, because </w:t>
      </w:r>
      <w:r>
        <w:rPr>
          <w:rFonts w:ascii="Consolas" w:cs="Consolas" w:eastAsia="Consolas" w:hAnsi="Consolas"/>
          <w:sz w:val="17"/>
          <w:szCs w:val="17"/>
        </w:rPr>
        <w:t xml:space="preserve">Park</w:t>
      </w:r>
      <w:r>
        <w:t xml:space="preserve"> is still sent.</w:t>
      </w:r>
    </w:p>
    <w:p>
      <w:pPr>
        <w:pStyle w:val="ListParagraph"/>
        <w:numPr>
          <w:ilvl w:val="0"/>
          <w:numId w:val="2"/>
        </w:numPr>
        <w:spacing w:after="45" w:line="252"/>
      </w:pPr>
      <w:r>
        <w:rPr>
          <w:b/>
          <w:bCs/>
        </w:rPr>
        <w:t xml:space="preserve">Noisy text:</w:t>
      </w:r>
      <w:r>
        <w:t xml:space="preserve"> text with the mistakes people make by accident when typing quickly, such as typos, missing spaces or punctuation, and names in lowercase (Section 4.2).</w:t>
      </w:r>
    </w:p>
    <w:p>
      <w:pPr>
        <w:keepNext/>
        <w:spacing w:after="40" w:before="70"/>
      </w:pPr>
      <w:r>
        <w:rPr>
          <w:b/>
          <w:bCs/>
          <w:color w:val="222222"/>
          <w:sz w:val="18"/>
          <w:szCs w:val="18"/>
        </w:rPr>
        <w:t xml:space="preserve">Research questions</w:t>
      </w:r>
    </w:p>
    <w:p>
      <w:pPr>
        <w:pBdr>
          <w:left w:val="single" w:color="A61955" w:sz="18" w:space="10"/>
        </w:pBdr>
        <w:shd w:fill="F3F1EE" w:color="auto" w:val="clear"/>
        <w:spacing w:after="100" w:before="40" w:line="264"/>
        <w:ind w:left="200" w:right="200"/>
      </w:pPr>
      <w:r>
        <w:rPr>
          <w:b/>
          <w:bCs/>
        </w:rPr>
        <w:t xml:space="preserve">How well do existing detectors find personal data in chatbot prompts, do they still work when the prompt contains typing mistakes, and can a filter built on them return a usable answer?</w:t>
      </w:r>
    </w:p>
    <w:p>
      <w:pPr>
        <w:spacing w:after="70" w:line="258"/>
      </w:pPr>
      <w:r>
        <w:t xml:space="preserve">The question has two parts, matching the two steps of the filter.</w:t>
      </w:r>
    </w:p>
    <w:p>
      <w:pPr>
        <w:keepNext/>
        <w:spacing w:after="40" w:before="60"/>
      </w:pPr>
      <w:r>
        <w:rPr>
          <w:i/>
          <w:iCs/>
          <w:color w:val="55524E"/>
          <w:sz w:val="14"/>
          <w:szCs w:val="14"/>
        </w:rPr>
        <w:t xml:space="preserve">Table 2. Research questions.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4206"/>
        <w:gridCol w:w="2800"/>
      </w:tblGrid>
      <w:tr>
        <w:trPr>
          <w:cantSplit/>
          <w:tblHeader/>
        </w:trPr>
        <w:tc>
          <w:tcPr>
            <w:tcW w:type="dxa" w:w="17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Part</w:t>
            </w:r>
          </w:p>
        </w:tc>
        <w:tc>
          <w:tcPr>
            <w:tcW w:type="dxa" w:w="8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p>
        </w:tc>
        <w:tc>
          <w:tcPr>
            <w:tcW w:type="dxa" w:w="4206"/>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Question</w:t>
            </w:r>
          </w:p>
        </w:tc>
        <w:tc>
          <w:tcPr>
            <w:tcW w:type="dxa" w:w="28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How we answer it</w:t>
            </w:r>
          </w:p>
        </w:tc>
      </w:tr>
      <w:tr>
        <w:trPr>
          <w:cantSplit/>
        </w:trPr>
        <w:tc>
          <w:tcPr>
            <w:tcW w:type="dxa" w:w="17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1. Benchmark (masking)</w:t>
            </w:r>
          </w:p>
        </w:tc>
        <w:tc>
          <w:tcPr>
            <w:tcW w:type="dxa" w:w="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RQ1</w:t>
            </w:r>
          </w:p>
        </w:tc>
        <w:tc>
          <w:tcPr>
            <w:tcW w:type="dxa" w:w="42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On clean text, how well do existing detectors find PII: rules (Presidio), a fine-tuned BERT, and GLiNER?</w:t>
            </w:r>
          </w:p>
        </w:tc>
        <w:tc>
          <w:tcPr>
            <w:tcW w:type="dxa" w:w="2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Strict P, R, F1, F2 on three datasets (Section 4)</w:t>
            </w:r>
          </w:p>
        </w:tc>
      </w:tr>
      <w:tr>
        <w:trPr>
          <w:cantSplit/>
        </w:trPr>
        <w:tc>
          <w:tcPr>
            <w:tcW w:type="dxa" w:w="17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RQ2</w:t>
            </w:r>
          </w:p>
        </w:tc>
        <w:tc>
          <w:tcPr>
            <w:tcW w:type="dxa" w:w="42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How much does each detector lose when the same text contains typing mistakes?</w:t>
            </w:r>
          </w:p>
        </w:tc>
        <w:tc>
          <w:tcPr>
            <w:tcW w:type="dxa" w:w="2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Same metrics on noisy copies of the test sets</w:t>
            </w:r>
          </w:p>
        </w:tc>
      </w:tr>
      <w:tr>
        <w:trPr>
          <w:cantSplit/>
        </w:trPr>
        <w:tc>
          <w:tcPr>
            <w:tcW w:type="dxa" w:w="17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2. Feasibility (mask → LLM → unmask)</w:t>
            </w:r>
          </w:p>
        </w:tc>
        <w:tc>
          <w:tcPr>
            <w:tcW w:type="dxa" w:w="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42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Does the whole filter work: is the prompt private, does the LLM still get enough context, and is the restored answer usable?</w:t>
            </w:r>
          </w:p>
        </w:tc>
        <w:tc>
          <w:tcPr>
            <w:tcW w:type="dxa" w:w="2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Demo system, checked by the team (Section 5.3)</w:t>
            </w:r>
          </w:p>
        </w:tc>
      </w:tr>
    </w:tbl>
    <w:p>
      <w:pPr>
        <w:spacing w:after="70" w:before="80" w:line="258"/>
      </w:pPr>
      <w:r>
        <w:t xml:space="preserve">Masking has public datasets and baselines, so it is benchmarked with numbers. Unmasking has few baselines or prior evaluations (Section 2.3), so we show it in the demo system and check it ourselves instead of scoring it.</w:t>
      </w:r>
    </w:p>
    <w:p>
      <w:pPr>
        <w:spacing w:after="70" w:line="258"/>
      </w:pPr>
      <w:r>
        <w:rPr>
          <w:b/>
          <w:bCs/>
        </w:rPr>
        <w:t xml:space="preserve">Scope.</w:t>
      </w:r>
      <w:r>
        <w:t xml:space="preserve"> English prompts, the six labels above, and mistakes people make by accident. PII that a user disguises on purpose is out of scope.</w:t>
      </w:r>
    </w:p>
    <w:p>
      <w:pPr>
        <w:pStyle w:val="Heading1"/>
        <w:keepNext/>
        <w:keepLines/>
      </w:pPr>
      <w:r>
        <w:t xml:space="preserve">2. Background</w:t>
      </w:r>
    </w:p>
    <w:p>
      <w:pPr>
        <w:pStyle w:val="Heading2"/>
        <w:keepNext/>
        <w:keepLines/>
      </w:pPr>
      <w:r>
        <w:t xml:space="preserve">2.1 Named entity recognition</w:t>
      </w:r>
    </w:p>
    <w:p>
      <w:pPr>
        <w:spacing w:after="70" w:line="258"/>
      </w:pPr>
      <w:r>
        <w:t xml:space="preserve">Named entity recognition (NER) finds the words that name something and says what kind of thing each one is: a person, an organization, a place, a date (Jurafsky &amp; Martin, 2025). It is usually framed as sequence labeling: the model reads a sentence and gives each word a label. PII detection is NER with PII labels. Each step in Table 3 needs less manual work and adapts better to new kinds of entities; our baselines are a rule system, a BERT model and a GLiNER model.</w:t>
      </w:r>
    </w:p>
    <w:p>
      <w:pPr>
        <w:keepNext/>
        <w:spacing w:after="40" w:before="60"/>
      </w:pPr>
      <w:r>
        <w:rPr>
          <w:i/>
          <w:iCs/>
          <w:color w:val="55524E"/>
          <w:sz w:val="14"/>
          <w:szCs w:val="14"/>
        </w:rPr>
        <w:t xml:space="preserve">Table 3. NER approaches over time.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206"/>
      </w:tblGrid>
      <w:tr>
        <w:trPr>
          <w:cantSplit/>
          <w:tblHeader/>
        </w:trPr>
        <w:tc>
          <w:tcPr>
            <w:tcW w:type="dxa" w:w="8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Year</w:t>
            </w:r>
          </w:p>
        </w:tc>
        <w:tc>
          <w:tcPr>
            <w:tcW w:type="dxa" w:w="35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Approach</w:t>
            </w:r>
          </w:p>
        </w:tc>
        <w:tc>
          <w:tcPr>
            <w:tcW w:type="dxa" w:w="5206"/>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Reference</w:t>
            </w:r>
          </w:p>
        </w:tc>
      </w:tr>
      <w:tr>
        <w:trPr>
          <w:cantSplit/>
        </w:trPr>
        <w:tc>
          <w:tcPr>
            <w:tcW w:type="dxa" w:w="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1997</w:t>
            </w:r>
          </w:p>
        </w:tc>
        <w:tc>
          <w:tcPr>
            <w:tcW w:type="dxa" w:w="3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Rules (hand-written patterns)</w:t>
            </w:r>
          </w:p>
        </w:tc>
        <w:tc>
          <w:tcPr>
            <w:tcW w:type="dxa" w:w="52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FASTUS (Hobbs et al., 1997)</w:t>
            </w:r>
          </w:p>
        </w:tc>
      </w:tr>
      <w:tr>
        <w:trPr>
          <w:cantSplit/>
        </w:trPr>
        <w:tc>
          <w:tcPr>
            <w:tcW w:type="dxa" w:w="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1997</w:t>
            </w:r>
          </w:p>
        </w:tc>
        <w:tc>
          <w:tcPr>
            <w:tcW w:type="dxa" w:w="3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Hidden Markov model</w:t>
            </w:r>
          </w:p>
        </w:tc>
        <w:tc>
          <w:tcPr>
            <w:tcW w:type="dxa" w:w="52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Nymble (Bikel et al., 1997)</w:t>
            </w:r>
          </w:p>
        </w:tc>
      </w:tr>
      <w:tr>
        <w:trPr>
          <w:cantSplit/>
        </w:trPr>
        <w:tc>
          <w:tcPr>
            <w:tcW w:type="dxa" w:w="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2003</w:t>
            </w:r>
          </w:p>
        </w:tc>
        <w:tc>
          <w:tcPr>
            <w:tcW w:type="dxa" w:w="3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LSTM</w:t>
            </w:r>
          </w:p>
        </w:tc>
        <w:tc>
          <w:tcPr>
            <w:tcW w:type="dxa" w:w="52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Hammerton (2003)</w:t>
            </w:r>
          </w:p>
        </w:tc>
      </w:tr>
      <w:tr>
        <w:trPr>
          <w:cantSplit/>
        </w:trPr>
        <w:tc>
          <w:tcPr>
            <w:tcW w:type="dxa" w:w="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2015</w:t>
            </w:r>
          </w:p>
        </w:tc>
        <w:tc>
          <w:tcPr>
            <w:tcW w:type="dxa" w:w="3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Bi-LSTM-CRF</w:t>
            </w:r>
          </w:p>
        </w:tc>
        <w:tc>
          <w:tcPr>
            <w:tcW w:type="dxa" w:w="52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Huang et al. (2015)</w:t>
            </w:r>
          </w:p>
        </w:tc>
      </w:tr>
      <w:tr>
        <w:trPr>
          <w:cantSplit/>
        </w:trPr>
        <w:tc>
          <w:tcPr>
            <w:tcW w:type="dxa" w:w="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2019</w:t>
            </w:r>
          </w:p>
        </w:tc>
        <w:tc>
          <w:tcPr>
            <w:tcW w:type="dxa" w:w="3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BERT, fine-tuned for labeling</w:t>
            </w:r>
          </w:p>
        </w:tc>
        <w:tc>
          <w:tcPr>
            <w:tcW w:type="dxa" w:w="52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Devlin et al. (2019)</w:t>
            </w:r>
          </w:p>
        </w:tc>
      </w:tr>
      <w:tr>
        <w:trPr>
          <w:cantSplit/>
        </w:trPr>
        <w:tc>
          <w:tcPr>
            <w:tcW w:type="dxa" w:w="8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2024</w:t>
            </w:r>
          </w:p>
        </w:tc>
        <w:tc>
          <w:tcPr>
            <w:tcW w:type="dxa" w:w="3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GLiNER: matches spans to label names given at run time</w:t>
            </w:r>
          </w:p>
        </w:tc>
        <w:tc>
          <w:tcPr>
            <w:tcW w:type="dxa" w:w="52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Zaratiana et al. (2024)</w:t>
            </w:r>
          </w:p>
        </w:tc>
      </w:tr>
    </w:tbl>
    <w:p>
      <w:pPr>
        <w:pStyle w:val="Heading2"/>
        <w:keepNext/>
        <w:keepLines/>
      </w:pPr>
      <w:r>
        <w:t xml:space="preserve">2.2 PII detection and masking</w:t>
      </w:r>
    </w:p>
    <w:p>
      <w:pPr>
        <w:spacing w:after="70" w:line="258"/>
      </w:pPr>
      <w:r>
        <w:t xml:space="preserve">PII is any information that can identify a person, directly (a name) or combined with other data (McCallister et al., 2010). Some types are easy to find with patterns because they have a fixed format (emails, phone numbers, card numbers); others need context (names, addresses). Masking replaces each detected value: </w:t>
      </w:r>
      <w:r>
        <w:rPr>
          <w:rFonts w:ascii="Consolas" w:cs="Consolas" w:eastAsia="Consolas" w:hAnsi="Consolas"/>
          <w:sz w:val="17"/>
          <w:szCs w:val="17"/>
        </w:rPr>
        <w:t xml:space="preserve">I am Minji Park, reach me at 010-2345-6789</w:t>
      </w:r>
      <w:r>
        <w:t xml:space="preserve"> → </w:t>
      </w:r>
      <w:r>
        <w:rPr>
          <w:rFonts w:ascii="Consolas" w:cs="Consolas" w:eastAsia="Consolas" w:hAnsi="Consolas"/>
          <w:sz w:val="17"/>
          <w:szCs w:val="17"/>
        </w:rPr>
        <w:t xml:space="preserve">I am &lt;NAME_1&gt;, reach me at &lt;PHONE_1&gt;</w:t>
      </w:r>
      <w:r>
        <w:t xml:space="preserve">. The most widely used open-source tool is Microsoft Presidio (Microsoft, n.d.).</w:t>
      </w:r>
    </w:p>
    <w:p>
      <w:pPr>
        <w:pStyle w:val="Heading2"/>
        <w:keepNext/>
        <w:keepLines/>
      </w:pPr>
      <w:r>
        <w:t xml:space="preserve">2.3 PII masking for LLM prompts</w:t>
      </w:r>
    </w:p>
    <w:p>
      <w:pPr>
        <w:pStyle w:val="ListParagraph"/>
        <w:numPr>
          <w:ilvl w:val="0"/>
          <w:numId w:val="2"/>
        </w:numPr>
        <w:spacing w:after="45" w:line="252"/>
      </w:pPr>
      <w:r>
        <w:rPr>
          <w:b/>
          <w:bCs/>
        </w:rPr>
        <w:t xml:space="preserve">Tools (since 2023).</w:t>
      </w:r>
      <w:r>
        <w:t xml:space="preserve"> PrivateGPT (Private AI, 2023), LangChain's reversible anonymizer (LangChain, 2023) and LLM Guard (Protect AI, 2023) mask the PII, send the prompt, and put the values back into the answer by simple replacement.</w:t>
      </w:r>
    </w:p>
    <w:p>
      <w:pPr>
        <w:pStyle w:val="ListParagraph"/>
        <w:numPr>
          <w:ilvl w:val="0"/>
          <w:numId w:val="2"/>
        </w:numPr>
        <w:spacing w:after="45" w:line="252"/>
      </w:pPr>
      <w:r>
        <w:rPr>
          <w:b/>
          <w:bCs/>
        </w:rPr>
        <w:t xml:space="preserve">Research (2023–2025).</w:t>
      </w:r>
      <w:r>
        <w:t xml:space="preserve"> Hide and Seek (Chen et al., 2023), PAPILLON (Li et al., 2025) and Rescriber (Zhou et al., 2025) add a small local language model that rewrites the prompt or restores the answer.</w:t>
      </w:r>
    </w:p>
    <w:p>
      <w:pPr>
        <w:spacing w:after="70" w:line="258"/>
      </w:pPr>
      <w:r>
        <w:t xml:space="preserve">Restoring the answer is evaluated far less than masking: each work uses its own tasks and measures, and there is no shared benchmark or standard baseline for it.</w:t>
      </w:r>
    </w:p>
    <w:p>
      <w:pPr>
        <w:pStyle w:val="Heading2"/>
        <w:keepNext/>
        <w:keepLines/>
      </w:pPr>
      <w:r>
        <w:t xml:space="preserve">2.4 NER on noisy text</w:t>
      </w:r>
    </w:p>
    <w:p>
      <w:pPr>
        <w:spacing w:after="70" w:line="258"/>
      </w:pPr>
      <w:r>
        <w:t xml:space="preserve">NER models are usually trained and tested on clean, edited text. Typos break neural models trained on clean text (Belinkov &amp; Bisk, 2018; Pruthi et al., 2019), lowercase text hurts models that rely on capital letters (Bodapati et al., 2019; Mayhew et al., 2019), and small changes to entities or their context lower NER scores (Lin et al., 2021). A common fix is to train on noisy copies of the training data (Namysl et al., 2020). For PII, Zafar &amp; Nowaczyk (2026) showed that ready-made detectors miss more PII on noisy text, but they used relaxed matching, did not test fine-tuned encoders such as BERT or GLiNER, and did not try a fix.</w:t>
      </w:r>
    </w:p>
    <w:p>
      <w:pPr>
        <w:pStyle w:val="Heading1"/>
        <w:keepNext/>
        <w:keepLines/>
      </w:pPr>
      <w:r>
        <w:t xml:space="preserve">3. Motivation</w:t>
      </w:r>
    </w:p>
    <w:p>
      <w:pPr>
        <w:keepNext/>
        <w:spacing w:after="40" w:before="70"/>
      </w:pPr>
      <w:r>
        <w:rPr>
          <w:b/>
          <w:bCs/>
          <w:color w:val="222222"/>
          <w:sz w:val="18"/>
          <w:szCs w:val="18"/>
        </w:rPr>
        <w:t xml:space="preserve">Who is concerned</w:t>
      </w:r>
    </w:p>
    <w:p>
      <w:pPr>
        <w:pStyle w:val="ListParagraph"/>
        <w:numPr>
          <w:ilvl w:val="0"/>
          <w:numId w:val="2"/>
        </w:numPr>
        <w:spacing w:after="45" w:line="252"/>
      </w:pPr>
      <w:r>
        <w:rPr>
          <w:b/>
          <w:bCs/>
        </w:rPr>
        <w:t xml:space="preserve">Companies (trade secrets):</w:t>
      </w:r>
      <w:r>
        <w:t xml:space="preserve"> employees paste code, client data and internal documents into chatbots.</w:t>
      </w:r>
    </w:p>
    <w:p>
      <w:pPr>
        <w:pStyle w:val="ListParagraph"/>
        <w:numPr>
          <w:ilvl w:val="0"/>
          <w:numId w:val="2"/>
        </w:numPr>
        <w:spacing w:after="45" w:line="252"/>
      </w:pPr>
      <w:r>
        <w:rPr>
          <w:b/>
          <w:bCs/>
        </w:rPr>
        <w:t xml:space="preserve">Hospitals (patient records):</w:t>
      </w:r>
      <w:r>
        <w:t xml:space="preserve"> medical data is highly sensitive and strictly protected by law.</w:t>
      </w:r>
    </w:p>
    <w:p>
      <w:pPr>
        <w:pStyle w:val="ListParagraph"/>
        <w:numPr>
          <w:ilvl w:val="0"/>
          <w:numId w:val="2"/>
        </w:numPr>
        <w:spacing w:after="45" w:line="252"/>
      </w:pPr>
      <w:r>
        <w:rPr>
          <w:b/>
          <w:bCs/>
        </w:rPr>
        <w:t xml:space="preserve">Individuals (private life):</w:t>
      </w:r>
      <w:r>
        <w:t xml:space="preserve"> people share names, addresses and health details, often without noticing.</w:t>
      </w:r>
    </w:p>
    <w:p>
      <w:pPr>
        <w:keepNext/>
        <w:spacing w:after="40" w:before="70"/>
      </w:pPr>
      <w:r>
        <w:rPr>
          <w:b/>
          <w:bCs/>
          <w:color w:val="222222"/>
          <w:sz w:val="18"/>
          <w:szCs w:val="18"/>
        </w:rPr>
        <w:t xml:space="preserve">Why noisy text</w:t>
      </w:r>
    </w:p>
    <w:p>
      <w:pPr>
        <w:spacing w:after="70" w:line="258"/>
      </w:pPr>
      <w:r>
        <w:t xml:space="preserve">A filter is only useful if it works on the prompts people actually type. Prompts are written quickly and rarely proofread, so typos, missing punctuation and lowercase names are normal, yet PII detectors are tested on clean text. A missed value is sent to the cloud in clear, so every drop in recall on noisy text is a leak. We measure this drop with strict matching for three kinds of detectors, and check that the full mask → LLM → unmask loop still gives usable answers.</w:t>
      </w:r>
    </w:p>
    <w:p>
      <w:pPr>
        <w:pStyle w:val="Heading1"/>
        <w:keepNext/>
        <w:keepLines/>
      </w:pPr>
      <w:r>
        <w:t xml:space="preserve">4. Metric and Benchmark</w:t>
      </w:r>
    </w:p>
    <w:p>
      <w:pPr>
        <w:pStyle w:val="Heading2"/>
        <w:keepNext/>
        <w:keepLines/>
      </w:pPr>
      <w:r>
        <w:t xml:space="preserve">4.1 Datasets</w:t>
      </w:r>
    </w:p>
    <w:p>
      <w:pPr>
        <w:spacing w:after="70" w:line="258"/>
      </w:pPr>
      <w:r>
        <w:t xml:space="preserve">We evaluate on three public datasets with character-level gold spans. All three are synthetic, so the correct answers are known exactly.</w:t>
      </w:r>
    </w:p>
    <w:p>
      <w:pPr>
        <w:keepNext/>
        <w:spacing w:after="40" w:before="60"/>
      </w:pPr>
      <w:r>
        <w:rPr>
          <w:i/>
          <w:iCs/>
          <w:color w:val="55524E"/>
          <w:sz w:val="14"/>
          <w:szCs w:val="14"/>
        </w:rPr>
        <w:t xml:space="preserve">Table 4. Evaluation datasets.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6"/>
      </w:tblGrid>
      <w:tr>
        <w:trPr>
          <w:cantSplit/>
          <w:tblHeader/>
        </w:trPr>
        <w:tc>
          <w:tcPr>
            <w:tcW w:type="dxa" w:w="26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Dataset</w:t>
            </w:r>
          </w:p>
        </w:tc>
        <w:tc>
          <w:tcPr>
            <w:tcW w:type="dxa" w:w="33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Text</w:t>
            </w:r>
          </w:p>
        </w:tc>
        <w:tc>
          <w:tcPr>
            <w:tcW w:type="dxa" w:w="3606"/>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Test set</w:t>
            </w:r>
          </w:p>
        </w:tc>
      </w:tr>
      <w:tr>
        <w:trPr>
          <w:cantSplit/>
        </w:trPr>
        <w:tc>
          <w:tcPr>
            <w:tcW w:type="dxa" w:w="26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ai4privacy open-pii-masking-500k (Ai4Privacy, 2025)</w:t>
            </w:r>
          </w:p>
        </w:tc>
        <w:tc>
          <w:tcPr>
            <w:tcW w:type="dxa" w:w="33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Short generated sentences (about 17 words); 150,693 English records, 20 PII labels</w:t>
            </w:r>
          </w:p>
        </w:tc>
        <w:tc>
          <w:tcPr>
            <w:tcW w:type="dxa" w:w="36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English validation split (there is no test split)</w:t>
            </w:r>
          </w:p>
        </w:tc>
      </w:tr>
      <w:tr>
        <w:trPr>
          <w:cantSplit/>
        </w:trPr>
        <w:tc>
          <w:tcPr>
            <w:tcW w:type="dxa" w:w="26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Nemotron-PII (Steier et al., 2025)</w:t>
            </w:r>
          </w:p>
        </w:tc>
        <w:tc>
          <w:tcPr>
            <w:tcW w:type="dxa" w:w="33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Generated English documents: forms, invoices, emails, notes; 55+ PII categories</w:t>
            </w:r>
          </w:p>
        </w:tc>
        <w:tc>
          <w:tcPr>
            <w:tcW w:type="dxa" w:w="36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Test split</w:t>
            </w:r>
          </w:p>
        </w:tc>
      </w:tr>
      <w:tr>
        <w:trPr>
          <w:cantSplit/>
        </w:trPr>
        <w:tc>
          <w:tcPr>
            <w:tcW w:type="dxa" w:w="26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bCs/>
                <w:sz w:val="15"/>
                <w:szCs w:val="15"/>
              </w:rPr>
              <w:t xml:space="preserve">Gretel PII finance (Watson et al., 2024)</w:t>
            </w:r>
          </w:p>
        </w:tc>
        <w:tc>
          <w:tcPr>
            <w:tcW w:type="dxa" w:w="33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val="false"/>
                <w:bCs w:val="false"/>
                <w:sz w:val="15"/>
                <w:szCs w:val="15"/>
              </w:rPr>
              <w:t xml:space="preserve">Generated financial documents (contracts, SWIFT messages, support tickets), about 1,300 characters each</w:t>
            </w:r>
          </w:p>
        </w:tc>
        <w:tc>
          <w:tcPr>
            <w:tcW w:type="dxa" w:w="36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val="false"/>
                <w:bCs w:val="false"/>
                <w:sz w:val="15"/>
                <w:szCs w:val="15"/>
              </w:rPr>
              <w:t xml:space="preserve">Test split, English only</w:t>
            </w:r>
          </w:p>
        </w:tc>
      </w:tr>
    </w:tbl>
    <w:p>
      <w:pPr>
        <w:keepNext/>
        <w:spacing w:after="40" w:before="60"/>
      </w:pPr>
      <w:r>
        <w:rPr>
          <w:i/>
          <w:iCs/>
          <w:color w:val="55524E"/>
          <w:sz w:val="14"/>
          <w:szCs w:val="14"/>
        </w:rPr>
        <w:t xml:space="preserve">Table 5. Label mapping. "+" means adjacent parts are merged into one span; "—" means the dataset has no such label, so it is not scored there. Other labels are ignored.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606"/>
      </w:tblGrid>
      <w:tr>
        <w:trPr>
          <w:cantSplit/>
          <w:tblHeader/>
        </w:trPr>
        <w:tc>
          <w:tcPr>
            <w:tcW w:type="dxa" w:w="19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Our label</w:t>
            </w:r>
          </w:p>
        </w:tc>
        <w:tc>
          <w:tcPr>
            <w:tcW w:type="dxa" w:w="25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ai4privacy</w:t>
            </w:r>
          </w:p>
        </w:tc>
        <w:tc>
          <w:tcPr>
            <w:tcW w:type="dxa" w:w="25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Nemotron-PII</w:t>
            </w:r>
          </w:p>
        </w:tc>
        <w:tc>
          <w:tcPr>
            <w:tcW w:type="dxa" w:w="2606"/>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Gretel</w:t>
            </w:r>
          </w:p>
        </w:tc>
      </w:tr>
      <w:tr>
        <w:trPr>
          <w:cantSplit/>
        </w:trPr>
        <w:tc>
          <w:tcPr>
            <w:tcW w:type="dxa" w:w="19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NAME</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GIVENNAME + SURNAME</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first_name + last_name</w:t>
            </w:r>
          </w:p>
        </w:tc>
        <w:tc>
          <w:tcPr>
            <w:tcW w:type="dxa" w:w="26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name, first_name, last_name</w:t>
            </w:r>
          </w:p>
        </w:tc>
      </w:tr>
      <w:tr>
        <w:trPr>
          <w:cantSplit/>
        </w:trPr>
        <w:tc>
          <w:tcPr>
            <w:tcW w:type="dxa" w:w="19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EMAIL</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EMAIL</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email</w:t>
            </w:r>
          </w:p>
        </w:tc>
        <w:tc>
          <w:tcPr>
            <w:tcW w:type="dxa" w:w="26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email</w:t>
            </w:r>
          </w:p>
        </w:tc>
      </w:tr>
      <w:tr>
        <w:trPr>
          <w:cantSplit/>
        </w:trPr>
        <w:tc>
          <w:tcPr>
            <w:tcW w:type="dxa" w:w="19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PHONE</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TELEPHONENUM</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phone_number</w:t>
            </w:r>
          </w:p>
        </w:tc>
        <w:tc>
          <w:tcPr>
            <w:tcW w:type="dxa" w:w="26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phone_number</w:t>
            </w:r>
          </w:p>
        </w:tc>
      </w:tr>
      <w:tr>
        <w:trPr>
          <w:cantSplit/>
        </w:trPr>
        <w:tc>
          <w:tcPr>
            <w:tcW w:type="dxa" w:w="19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ADDRESS</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BUILDINGNUM + STREET</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street_address</w:t>
            </w:r>
          </w:p>
        </w:tc>
        <w:tc>
          <w:tcPr>
            <w:tcW w:type="dxa" w:w="26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street_address</w:t>
            </w:r>
          </w:p>
        </w:tc>
      </w:tr>
      <w:tr>
        <w:trPr>
          <w:cantSplit/>
        </w:trPr>
        <w:tc>
          <w:tcPr>
            <w:tcW w:type="dxa" w:w="19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DATE_OF_BIRTH</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date_of_birth</w:t>
            </w:r>
          </w:p>
        </w:tc>
        <w:tc>
          <w:tcPr>
            <w:tcW w:type="dxa" w:w="26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date_of_birth</w:t>
            </w:r>
          </w:p>
        </w:tc>
      </w:tr>
      <w:tr>
        <w:trPr>
          <w:cantSplit/>
        </w:trPr>
        <w:tc>
          <w:tcPr>
            <w:tcW w:type="dxa" w:w="19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bCs/>
                <w:sz w:val="15"/>
                <w:szCs w:val="15"/>
              </w:rPr>
              <w:t xml:space="preserve">CARD_NUMBER</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val="false"/>
                <w:bCs w:val="false"/>
                <w:sz w:val="15"/>
                <w:szCs w:val="15"/>
              </w:rPr>
              <w:t xml:space="preserve">CREDITCARDNUMBER</w:t>
            </w:r>
          </w:p>
        </w:tc>
        <w:tc>
          <w:tcPr>
            <w:tcW w:type="dxa" w:w="25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val="false"/>
                <w:bCs w:val="false"/>
                <w:sz w:val="15"/>
                <w:szCs w:val="15"/>
              </w:rPr>
              <w:t xml:space="preserve">credit_debit_card</w:t>
            </w:r>
          </w:p>
        </w:tc>
        <w:tc>
          <w:tcPr>
            <w:tcW w:type="dxa" w:w="26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val="false"/>
                <w:bCs w:val="false"/>
                <w:sz w:val="15"/>
                <w:szCs w:val="15"/>
              </w:rPr>
              <w:t xml:space="preserve">credit_card_number</w:t>
            </w:r>
          </w:p>
        </w:tc>
      </w:tr>
    </w:tbl>
    <w:p>
      <w:pPr>
        <w:keepNext/>
        <w:spacing w:after="40" w:before="70"/>
      </w:pPr>
      <w:r>
        <w:rPr>
          <w:b/>
          <w:bCs/>
          <w:color w:val="222222"/>
          <w:sz w:val="18"/>
          <w:szCs w:val="18"/>
        </w:rPr>
        <w:t xml:space="preserve">Notes on the datasets</w:t>
      </w:r>
    </w:p>
    <w:p>
      <w:pPr>
        <w:pStyle w:val="ListParagraph"/>
        <w:numPr>
          <w:ilvl w:val="0"/>
          <w:numId w:val="2"/>
        </w:numPr>
        <w:spacing w:after="45" w:line="252"/>
      </w:pPr>
      <w:r>
        <w:rPr>
          <w:b/>
          <w:bCs/>
        </w:rPr>
        <w:t xml:space="preserve">ai4privacy</w:t>
      </w:r>
      <w:r>
        <w:t xml:space="preserve"> has no birth-date label, so DATE_OF_BIRTH is scored only on the other two datasets.</w:t>
      </w:r>
    </w:p>
    <w:p>
      <w:pPr>
        <w:pStyle w:val="ListParagraph"/>
        <w:numPr>
          <w:ilvl w:val="0"/>
          <w:numId w:val="2"/>
        </w:numPr>
        <w:spacing w:after="45" w:line="252"/>
      </w:pPr>
      <w:r>
        <w:rPr>
          <w:b/>
          <w:bCs/>
        </w:rPr>
        <w:t xml:space="preserve">Nemotron-PII:</w:t>
      </w:r>
      <w:r>
        <w:t xml:space="preserve"> its card says 50,000 test records while the Hugging Face viewer shows 100,000; we check after download.</w:t>
      </w:r>
    </w:p>
    <w:p>
      <w:pPr>
        <w:pStyle w:val="ListParagraph"/>
        <w:numPr>
          <w:ilvl w:val="0"/>
          <w:numId w:val="2"/>
        </w:numPr>
        <w:spacing w:after="45" w:line="252"/>
      </w:pPr>
      <w:r>
        <w:rPr>
          <w:b/>
          <w:bCs/>
        </w:rPr>
        <w:t xml:space="preserve">Gretel:</w:t>
      </w:r>
      <w:r>
        <w:t xml:space="preserve"> some PII is left unlabeled (one test record has two unlabeled street addresses), so precision on Gretel is a lower bound. Gretel's data is also part of the BERT baseline's training mix (Appendix A.2), so BERT's Gretel score is not an out-of-domain result.</w:t>
      </w:r>
    </w:p>
    <w:p>
      <w:pPr>
        <w:pStyle w:val="Heading2"/>
        <w:keepNext/>
        <w:keepLines/>
      </w:pPr>
      <w:r>
        <w:t xml:space="preserve">4.2 Noisy test sets</w:t>
      </w:r>
    </w:p>
    <w:p>
      <w:pPr>
        <w:spacing w:after="70" w:line="258"/>
      </w:pPr>
      <w:r>
        <w:t xml:space="preserve">Noisy text here means mistakes a person makes without meaning to while typing quickly; the text is still easy for a person, and for the LLM, to read. We group the mistakes by level, as text-perturbation toolkits do (Dhole et al., 2023):</w:t>
      </w:r>
    </w:p>
    <w:p>
      <w:pPr>
        <w:pStyle w:val="ListParagraph"/>
        <w:numPr>
          <w:ilvl w:val="0"/>
          <w:numId w:val="2"/>
        </w:numPr>
        <w:spacing w:after="45" w:line="252"/>
      </w:pPr>
      <w:r>
        <w:rPr>
          <w:b/>
          <w:bCs/>
        </w:rPr>
        <w:t xml:space="preserve">Character:</w:t>
      </w:r>
      <w:r>
        <w:t xml:space="preserve"> typos, i.e. an extra, missing, swapped or neighboring-key letter (</w:t>
      </w:r>
      <w:r>
        <w:rPr>
          <w:rFonts w:ascii="Consolas" w:cs="Consolas" w:eastAsia="Consolas" w:hAnsi="Consolas"/>
          <w:sz w:val="17"/>
          <w:szCs w:val="17"/>
        </w:rPr>
        <w:t xml:space="preserve">example</w:t>
      </w:r>
      <w:r>
        <w:t xml:space="preserve"> → </w:t>
      </w:r>
      <w:r>
        <w:rPr>
          <w:rFonts w:ascii="Consolas" w:cs="Consolas" w:eastAsia="Consolas" w:hAnsi="Consolas"/>
          <w:sz w:val="17"/>
          <w:szCs w:val="17"/>
        </w:rPr>
        <w:t xml:space="preserve">exmaple</w:t>
      </w:r>
      <w:r>
        <w:t xml:space="preserve">) (Belinkov &amp; Bisk, 2018; Pruthi et al., 2019); missing or extra spaces (</w:t>
      </w:r>
      <w:r>
        <w:rPr>
          <w:rFonts w:ascii="Consolas" w:cs="Consolas" w:eastAsia="Consolas" w:hAnsi="Consolas"/>
          <w:sz w:val="17"/>
          <w:szCs w:val="17"/>
        </w:rPr>
        <w:t xml:space="preserve">my email isminji.park@…</w:t>
      </w:r>
      <w:r>
        <w:t xml:space="preserve">).</w:t>
      </w:r>
    </w:p>
    <w:p>
      <w:pPr>
        <w:pStyle w:val="ListParagraph"/>
        <w:numPr>
          <w:ilvl w:val="0"/>
          <w:numId w:val="2"/>
        </w:numPr>
        <w:spacing w:after="45" w:line="252"/>
      </w:pPr>
      <w:r>
        <w:rPr>
          <w:b/>
          <w:bCs/>
        </w:rPr>
        <w:t xml:space="preserve">Word:</w:t>
      </w:r>
      <w:r>
        <w:t xml:space="preserve"> names and places typed in lowercase (</w:t>
      </w:r>
      <w:r>
        <w:rPr>
          <w:rFonts w:ascii="Consolas" w:cs="Consolas" w:eastAsia="Consolas" w:hAnsi="Consolas"/>
          <w:sz w:val="17"/>
          <w:szCs w:val="17"/>
        </w:rPr>
        <w:t xml:space="preserve">minji park</w:t>
      </w:r>
      <w:r>
        <w:t xml:space="preserve">) (Bodapati et al., 2019; Mayhew et al., 2019).</w:t>
      </w:r>
    </w:p>
    <w:p>
      <w:pPr>
        <w:pStyle w:val="ListParagraph"/>
        <w:numPr>
          <w:ilvl w:val="0"/>
          <w:numId w:val="2"/>
        </w:numPr>
        <w:spacing w:after="45" w:line="252"/>
      </w:pPr>
      <w:r>
        <w:rPr>
          <w:b/>
          <w:bCs/>
        </w:rPr>
        <w:t xml:space="preserve">Sentence:</w:t>
      </w:r>
      <w:r>
        <w:t xml:space="preserve"> missing punctuation, so sentences run together (Zafar &amp; Nowaczyk, 2026).</w:t>
      </w:r>
    </w:p>
    <w:p>
      <w:pPr>
        <w:pStyle w:val="ListParagraph"/>
        <w:numPr>
          <w:ilvl w:val="0"/>
          <w:numId w:val="2"/>
        </w:numPr>
        <w:spacing w:after="45" w:line="252"/>
      </w:pPr>
      <w:r>
        <w:rPr>
          <w:b/>
          <w:bCs/>
        </w:rPr>
        <w:t xml:space="preserve">Number format:</w:t>
      </w:r>
      <w:r>
        <w:t xml:space="preserve"> separators dropped or mixed inside numbers (</w:t>
      </w:r>
      <w:r>
        <w:rPr>
          <w:rFonts w:ascii="Consolas" w:cs="Consolas" w:eastAsia="Consolas" w:hAnsi="Consolas"/>
          <w:sz w:val="17"/>
          <w:szCs w:val="17"/>
        </w:rPr>
        <w:t xml:space="preserve">01023456789</w:t>
      </w:r>
      <w:r>
        <w:t xml:space="preserve">, </w:t>
      </w:r>
      <w:r>
        <w:rPr>
          <w:rFonts w:ascii="Consolas" w:cs="Consolas" w:eastAsia="Consolas" w:hAnsi="Consolas"/>
          <w:sz w:val="17"/>
          <w:szCs w:val="17"/>
        </w:rPr>
        <w:t xml:space="preserve">010 2345-6789</w:t>
      </w:r>
      <w:r>
        <w:t xml:space="preserve">).</w:t>
      </w:r>
    </w:p>
    <w:p>
      <w:pPr>
        <w:spacing w:after="70" w:before="60" w:line="258"/>
      </w:pPr>
      <w:r>
        <w:t xml:space="preserve">A script inserts these mistakes into the clean test sentences. It records every edit, so the gold spans move with the text, and a changed value keeps its label: a misspelled email is still an email. We make one noisy copy per mistake type and one that mixes all types; each copy changes a small, fixed number of characters or words per sentence, set before any scoring. Scripted typos can differ from real ones (Belinkov &amp; Bisk, 2018), so if time allows we also use real typos from the GitHub Typo Corpus (Hagiwara &amp; Mita, 2020).</w:t>
      </w:r>
    </w:p>
    <w:p>
      <w:pPr>
        <w:pStyle w:val="Heading2"/>
        <w:keepNext/>
        <w:keepLines/>
      </w:pPr>
      <w:r>
        <w:t xml:space="preserve">4.3 Matching and scores</w:t>
      </w:r>
    </w:p>
    <w:p>
      <w:pPr>
        <w:pStyle w:val="ListParagraph"/>
        <w:numPr>
          <w:ilvl w:val="0"/>
          <w:numId w:val="2"/>
        </w:numPr>
        <w:spacing w:after="45" w:line="252"/>
      </w:pPr>
      <w:r>
        <w:rPr>
          <w:b/>
          <w:bCs/>
        </w:rPr>
        <w:t xml:space="preserve">Same format for everything.</w:t>
      </w:r>
      <w:r>
        <w:t xml:space="preserve"> Gold annotations and detector outputs are both turned into spans (sentence, start, end, label), with each detector's labels mapped to ours. Comparing character positions makes the score independent of how each model splits text into tokens.</w:t>
      </w:r>
    </w:p>
    <w:p>
      <w:pPr>
        <w:pStyle w:val="ListParagraph"/>
        <w:numPr>
          <w:ilvl w:val="0"/>
          <w:numId w:val="2"/>
        </w:numPr>
        <w:spacing w:after="45" w:line="252"/>
      </w:pPr>
      <w:r>
        <w:rPr>
          <w:b/>
          <w:bCs/>
        </w:rPr>
        <w:t xml:space="preserve">Strict matching.</w:t>
      </w:r>
      <w:r>
        <w:t xml:space="preserve"> TP: a detection with exactly the gold start, end and label. FP: a detection with no exact match. FN: a gold span with no exact match. A partial span is one FP plus one FN.</w:t>
      </w:r>
    </w:p>
    <w:p>
      <w:pPr>
        <w:pStyle w:val="ListParagraph"/>
        <w:numPr>
          <w:ilvl w:val="0"/>
          <w:numId w:val="2"/>
        </w:numPr>
        <w:spacing w:after="45" w:line="252"/>
      </w:pPr>
      <w:r>
        <w:rPr>
          <w:b/>
          <w:bCs/>
        </w:rPr>
        <w:t xml:space="preserve">Titles.</w:t>
      </w:r>
      <w:r>
        <w:t xml:space="preserve"> Leading titles (Mr, Mrs, Ms, Dr, …) are removed from all NAME spans, gold and detected, before matching.</w:t>
      </w:r>
    </w:p>
    <w:p>
      <w:pPr>
        <w:pStyle w:val="ListParagraph"/>
        <w:numPr>
          <w:ilvl w:val="0"/>
          <w:numId w:val="2"/>
        </w:numPr>
        <w:spacing w:after="45" w:line="252"/>
      </w:pPr>
      <w:r>
        <w:rPr>
          <w:b/>
          <w:bCs/>
        </w:rPr>
        <w:t xml:space="preserve">Labels.</w:t>
      </w:r>
      <w:r>
        <w:t xml:space="preserve"> Only labels the dataset has are scored; detections with other labels are dropped.</w:t>
      </w:r>
    </w:p>
    <w:p>
      <w:pPr>
        <w:spacing w:after="70" w:before="40"/>
        <w:jc w:val="center"/>
      </w:pPr>
      <w:r>
        <w:t xml:space="preserve">P = TP / (TP + FP)      R = TP / (TP + FN)      F1 = 2PR / (P + R)      F2 = 5PR / (4P + R)</w:t>
      </w:r>
    </w:p>
    <w:p>
      <w:pPr>
        <w:spacing w:after="70" w:line="258"/>
      </w:pPr>
      <w:r>
        <w:rPr>
          <w:b/>
          <w:bCs/>
        </w:rPr>
        <w:t xml:space="preserve">F1 and F2 are both main scores.</w:t>
      </w:r>
      <w:r>
        <w:t xml:space="preserve"> F1 is the standard NER score and makes our numbers comparable with other work. F2 weighs recall twice as much as precision, which fits a privacy filter: a missed value leaks, while an extra mask only costs a little usefulness. We report per-label F2 with its support (the number of gold spans) and micro-averaged P, R, F1 and F2 (TP, FP and FN summed over labels).</w:t>
      </w:r>
    </w:p>
    <w:p>
      <w:pPr>
        <w:keepNext/>
        <w:spacing w:after="40" w:before="60"/>
      </w:pPr>
      <w:r>
        <w:rPr>
          <w:i/>
          <w:iCs/>
          <w:color w:val="55524E"/>
          <w:sz w:val="14"/>
          <w:szCs w:val="14"/>
        </w:rPr>
        <w:t xml:space="preserve">Table 6. Worked example: "Hi, I'm Minji Park. Email minji.park@example.com, phone 010-1234-5678."</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106"/>
      </w:tblGrid>
      <w:tr>
        <w:trPr>
          <w:cantSplit/>
          <w:tblHeader/>
        </w:trPr>
        <w:tc>
          <w:tcPr>
            <w:tcW w:type="dxa" w:w="34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Gold</w:t>
            </w:r>
          </w:p>
        </w:tc>
        <w:tc>
          <w:tcPr>
            <w:tcW w:type="dxa" w:w="30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Detected</w:t>
            </w:r>
          </w:p>
        </w:tc>
        <w:tc>
          <w:tcPr>
            <w:tcW w:type="dxa" w:w="3106"/>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Result</w:t>
            </w:r>
          </w:p>
        </w:tc>
      </w:tr>
      <w:tr>
        <w:trPr>
          <w:cantSplit/>
        </w:trPr>
        <w:tc>
          <w:tcPr>
            <w:tcW w:type="dxa" w:w="34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NAME [8, 18) </w:t>
            </w:r>
            <w:r>
              <w:rPr>
                <w:rFonts w:ascii="Consolas" w:cs="Consolas" w:eastAsia="Consolas" w:hAnsi="Consolas"/>
                <w:sz w:val="14"/>
                <w:szCs w:val="14"/>
              </w:rPr>
              <w:t xml:space="preserve">Minji Park</w:t>
            </w:r>
          </w:p>
        </w:tc>
        <w:tc>
          <w:tcPr>
            <w:tcW w:type="dxa" w:w="30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NAME [8, 13) </w:t>
            </w:r>
            <w:r>
              <w:rPr>
                <w:rFonts w:ascii="Consolas" w:cs="Consolas" w:eastAsia="Consolas" w:hAnsi="Consolas"/>
                <w:sz w:val="14"/>
                <w:szCs w:val="14"/>
              </w:rPr>
              <w:t xml:space="preserve">Minji</w:t>
            </w:r>
          </w:p>
        </w:tc>
        <w:tc>
          <w:tcPr>
            <w:tcW w:type="dxa" w:w="31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1 FP + 1 FN</w:t>
            </w:r>
          </w:p>
        </w:tc>
      </w:tr>
      <w:tr>
        <w:trPr>
          <w:cantSplit/>
        </w:trPr>
        <w:tc>
          <w:tcPr>
            <w:tcW w:type="dxa" w:w="34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EMAIL [26, 48)</w:t>
            </w:r>
          </w:p>
        </w:tc>
        <w:tc>
          <w:tcPr>
            <w:tcW w:type="dxa" w:w="30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EMAIL [26, 48)</w:t>
            </w:r>
          </w:p>
        </w:tc>
        <w:tc>
          <w:tcPr>
            <w:tcW w:type="dxa" w:w="31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sz w:val="15"/>
                <w:szCs w:val="15"/>
              </w:rPr>
              <w:t xml:space="preserve">1 TP</w:t>
            </w:r>
          </w:p>
        </w:tc>
      </w:tr>
      <w:tr>
        <w:trPr>
          <w:cantSplit/>
        </w:trPr>
        <w:tc>
          <w:tcPr>
            <w:tcW w:type="dxa" w:w="34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PHONE [56, 69)</w:t>
            </w:r>
          </w:p>
        </w:tc>
        <w:tc>
          <w:tcPr>
            <w:tcW w:type="dxa" w:w="30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w:t>
            </w:r>
          </w:p>
        </w:tc>
        <w:tc>
          <w:tcPr>
            <w:tcW w:type="dxa" w:w="31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sz w:val="15"/>
                <w:szCs w:val="15"/>
              </w:rPr>
              <w:t xml:space="preserve">1 FN</w:t>
            </w:r>
          </w:p>
        </w:tc>
      </w:tr>
    </w:tbl>
    <w:p>
      <w:pPr>
        <w:spacing w:after="70" w:before="60"/>
      </w:pPr>
      <w:r>
        <w:t xml:space="preserve">TP = 1, FP = 1, FN = 2 → P = 0.500, R = 0.333, F1 = 0.400, </w:t>
      </w:r>
      <w:r>
        <w:rPr>
          <w:b/>
          <w:bCs/>
        </w:rPr>
        <w:t xml:space="preserve">F2 = 0.357</w:t>
      </w:r>
      <w:r>
        <w:t xml:space="preserve">.</w:t>
      </w:r>
    </w:p>
    <w:p>
      <w:pPr>
        <w:pStyle w:val="Heading2"/>
        <w:keepNext/>
        <w:keepLines/>
      </w:pPr>
      <w:r>
        <w:t xml:space="preserve">4.4 Results table</w:t>
      </w:r>
    </w:p>
    <w:p>
      <w:pPr>
        <w:spacing w:after="70" w:line="258"/>
      </w:pPr>
      <w:r>
        <w:t xml:space="preserve">One table per system and input condition (clean, and each noisy copy). Per-label cells give F2 (support); P, R, F1 and F2 on the right are micro averages. "—" means the label is not in that dataset.</w:t>
      </w:r>
    </w:p>
    <w:p>
      <w:pPr>
        <w:keepNext/>
        <w:spacing w:after="40" w:before="60"/>
      </w:pPr>
      <w:r>
        <w:rPr>
          <w:i/>
          <w:iCs/>
          <w:color w:val="55524E"/>
          <w:sz w:val="14"/>
          <w:szCs w:val="14"/>
        </w:rPr>
        <w:t xml:space="preserve">Table 7. Results template.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42"/>
        <w:gridCol w:w="817"/>
        <w:gridCol w:w="817"/>
        <w:gridCol w:w="817"/>
        <w:gridCol w:w="817"/>
        <w:gridCol w:w="817"/>
        <w:gridCol w:w="817"/>
        <w:gridCol w:w="612"/>
        <w:gridCol w:w="612"/>
        <w:gridCol w:w="612"/>
        <w:gridCol w:w="726"/>
      </w:tblGrid>
      <w:tr>
        <w:trPr>
          <w:cantSplit/>
          <w:tblHeader/>
        </w:trPr>
        <w:tc>
          <w:tcPr>
            <w:tcW w:type="dxa" w:w="2042"/>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Dataset</w:t>
            </w:r>
          </w:p>
        </w:tc>
        <w:tc>
          <w:tcPr>
            <w:tcW w:type="dxa" w:w="817"/>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NAME</w:t>
            </w:r>
          </w:p>
        </w:tc>
        <w:tc>
          <w:tcPr>
            <w:tcW w:type="dxa" w:w="817"/>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EMAIL</w:t>
            </w:r>
          </w:p>
        </w:tc>
        <w:tc>
          <w:tcPr>
            <w:tcW w:type="dxa" w:w="817"/>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PHONE</w:t>
            </w:r>
          </w:p>
        </w:tc>
        <w:tc>
          <w:tcPr>
            <w:tcW w:type="dxa" w:w="817"/>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ADDR.</w:t>
            </w:r>
          </w:p>
        </w:tc>
        <w:tc>
          <w:tcPr>
            <w:tcW w:type="dxa" w:w="817"/>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DOB</w:t>
            </w:r>
          </w:p>
        </w:tc>
        <w:tc>
          <w:tcPr>
            <w:tcW w:type="dxa" w:w="817"/>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CARD</w:t>
            </w:r>
          </w:p>
        </w:tc>
        <w:tc>
          <w:tcPr>
            <w:tcW w:type="dxa" w:w="612"/>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P</w:t>
            </w:r>
          </w:p>
        </w:tc>
        <w:tc>
          <w:tcPr>
            <w:tcW w:type="dxa" w:w="612"/>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R</w:t>
            </w:r>
          </w:p>
        </w:tc>
        <w:tc>
          <w:tcPr>
            <w:tcW w:type="dxa" w:w="612"/>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F1</w:t>
            </w:r>
          </w:p>
        </w:tc>
        <w:tc>
          <w:tcPr>
            <w:tcW w:type="dxa" w:w="726"/>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F2</w:t>
            </w:r>
          </w:p>
        </w:tc>
      </w:tr>
      <w:tr>
        <w:trPr>
          <w:cantSplit/>
        </w:trPr>
        <w:tc>
          <w:tcPr>
            <w:tcW w:type="dxa" w:w="204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ai4privacy</w:t>
            </w: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w:t>
            </w: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61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61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61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72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r>
      <w:tr>
        <w:trPr>
          <w:cantSplit/>
        </w:trPr>
        <w:tc>
          <w:tcPr>
            <w:tcW w:type="dxa" w:w="204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Nemotron-PII</w:t>
            </w: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61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61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61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72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r>
      <w:tr>
        <w:trPr>
          <w:cantSplit/>
        </w:trPr>
        <w:tc>
          <w:tcPr>
            <w:tcW w:type="dxa" w:w="204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bCs/>
                <w:sz w:val="15"/>
                <w:szCs w:val="15"/>
              </w:rPr>
              <w:t xml:space="preserve">Gretel</w:t>
            </w: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817"/>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61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61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612"/>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72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r>
    </w:tbl>
    <w:p>
      <w:pPr>
        <w:pStyle w:val="Heading1"/>
        <w:keepNext/>
        <w:keepLines/>
      </w:pPr>
      <w:r>
        <w:t xml:space="preserve">5. Experiment Design</w:t>
      </w:r>
    </w:p>
    <w:p>
      <w:pPr>
        <w:pStyle w:val="Heading2"/>
        <w:keepNext/>
        <w:keepLines/>
      </w:pPr>
      <w:r>
        <w:t xml:space="preserve">5.1 Systems</w:t>
      </w:r>
    </w:p>
    <w:p>
      <w:pPr>
        <w:spacing w:after="70" w:line="258"/>
      </w:pPr>
      <w:r>
        <w:t xml:space="preserve">We compare three existing detectors, one per kind of approach. Each uses its own label names, which we map to ours before scoring (details in Appendix A).</w:t>
      </w:r>
    </w:p>
    <w:p>
      <w:pPr>
        <w:keepNext/>
        <w:spacing w:after="40" w:before="60"/>
      </w:pPr>
      <w:r>
        <w:rPr>
          <w:i/>
          <w:iCs/>
          <w:color w:val="55524E"/>
          <w:sz w:val="14"/>
          <w:szCs w:val="14"/>
        </w:rPr>
        <w:t xml:space="preserve">Table 8. Baselines.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506"/>
      </w:tblGrid>
      <w:tr>
        <w:trPr>
          <w:cantSplit/>
          <w:tblHeader/>
        </w:trPr>
        <w:tc>
          <w:tcPr>
            <w:tcW w:type="dxa" w:w="11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Kind</w:t>
            </w:r>
          </w:p>
        </w:tc>
        <w:tc>
          <w:tcPr>
            <w:tcW w:type="dxa" w:w="29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Model</w:t>
            </w:r>
          </w:p>
        </w:tc>
        <w:tc>
          <w:tcPr>
            <w:tcW w:type="dxa" w:w="5506"/>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What it is</w:t>
            </w:r>
          </w:p>
        </w:tc>
      </w:tr>
      <w:tr>
        <w:trPr>
          <w:cantSplit/>
        </w:trPr>
        <w:tc>
          <w:tcPr>
            <w:tcW w:type="dxa" w:w="11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Regex</w:t>
            </w:r>
          </w:p>
        </w:tc>
        <w:tc>
          <w:tcPr>
            <w:tcW w:type="dxa" w:w="29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Microsoft Presidio (rules only)</w:t>
            </w:r>
          </w:p>
        </w:tc>
        <w:tc>
          <w:tcPr>
            <w:tcW w:type="dxa" w:w="55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Presidio's pattern recognizers with its NER model switched off: emails, phone numbers, card numbers, dates. Finds no names or addresses.</w:t>
            </w:r>
          </w:p>
        </w:tc>
      </w:tr>
      <w:tr>
        <w:trPr>
          <w:cantSplit/>
        </w:trPr>
        <w:tc>
          <w:tcPr>
            <w:tcW w:type="dxa" w:w="11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BERT</w:t>
            </w:r>
          </w:p>
        </w:tc>
        <w:tc>
          <w:tcPr>
            <w:tcW w:type="dxa" w:w="29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rFonts w:ascii="Consolas" w:cs="Consolas" w:eastAsia="Consolas" w:hAnsi="Consolas"/>
                <w:b w:val="false"/>
                <w:bCs w:val="false"/>
                <w:sz w:val="14"/>
                <w:szCs w:val="14"/>
              </w:rPr>
              <w:t xml:space="preserve">gravitee-io/bert-small-pii-detection</w:t>
            </w:r>
          </w:p>
        </w:tc>
        <w:tc>
          <w:tcPr>
            <w:tcW w:type="dxa" w:w="55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val="false"/>
                <w:bCs w:val="false"/>
                <w:sz w:val="15"/>
                <w:szCs w:val="15"/>
              </w:rPr>
              <w:t xml:space="preserve">BERT-small (28.5M parameters) fine-tuned to label tokens with 25 PII classes.</w:t>
            </w:r>
          </w:p>
        </w:tc>
      </w:tr>
      <w:tr>
        <w:trPr>
          <w:cantSplit/>
        </w:trPr>
        <w:tc>
          <w:tcPr>
            <w:tcW w:type="dxa" w:w="11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bCs/>
                <w:sz w:val="15"/>
                <w:szCs w:val="15"/>
              </w:rPr>
              <w:t xml:space="preserve">GLiNER</w:t>
            </w:r>
          </w:p>
        </w:tc>
        <w:tc>
          <w:tcPr>
            <w:tcW w:type="dxa" w:w="29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rFonts w:ascii="Consolas" w:cs="Consolas" w:eastAsia="Consolas" w:hAnsi="Consolas"/>
                <w:b w:val="false"/>
                <w:bCs w:val="false"/>
                <w:sz w:val="14"/>
                <w:szCs w:val="14"/>
              </w:rPr>
              <w:t xml:space="preserve">urchade/gliner_multi_pii-v1</w:t>
            </w:r>
          </w:p>
        </w:tc>
        <w:tc>
          <w:tcPr>
            <w:tcW w:type="dxa" w:w="5506"/>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val="false"/>
                <w:bCs w:val="false"/>
                <w:sz w:val="15"/>
                <w:szCs w:val="15"/>
              </w:rPr>
              <w:t xml:space="preserve">GLiNER fine-tuned for PII; we give it our label names as text.</w:t>
            </w:r>
          </w:p>
        </w:tc>
      </w:tr>
    </w:tbl>
    <w:p>
      <w:pPr>
        <w:pStyle w:val="Heading2"/>
        <w:keepNext/>
        <w:keepLines/>
      </w:pPr>
      <w:r>
        <w:t xml:space="preserve">5.2 Masking evaluation (RQ1, RQ2)</w:t>
      </w:r>
    </w:p>
    <w:p>
      <w:pPr>
        <w:pStyle w:val="ListParagraph"/>
        <w:numPr>
          <w:ilvl w:val="0"/>
          <w:numId w:val="2"/>
        </w:numPr>
        <w:spacing w:after="45" w:line="252"/>
      </w:pPr>
      <w:r>
        <w:rPr>
          <w:b/>
          <w:bCs/>
        </w:rPr>
        <w:t xml:space="preserve">RQ1.</w:t>
      </w:r>
      <w:r>
        <w:t xml:space="preserve"> Run the three detectors on the clean test set and fill Table 7 for each system.</w:t>
      </w:r>
    </w:p>
    <w:p>
      <w:pPr>
        <w:pStyle w:val="ListParagraph"/>
        <w:numPr>
          <w:ilvl w:val="0"/>
          <w:numId w:val="2"/>
        </w:numPr>
        <w:spacing w:after="45" w:line="252"/>
      </w:pPr>
      <w:r>
        <w:rPr>
          <w:b/>
          <w:bCs/>
        </w:rPr>
        <w:t xml:space="preserve">RQ2.</w:t>
      </w:r>
      <w:r>
        <w:t xml:space="preserve"> Run the same detectors, unchanged, on each noisy copy. The answer is the drop in F1 and F2 from clean to noisy: overall, per label, per mistake type, and by whether the mistake is inside a PII value or only in the words around it (Lin et al., 2021).</w:t>
      </w:r>
    </w:p>
    <w:p>
      <w:pPr>
        <w:pStyle w:val="ListParagraph"/>
        <w:numPr>
          <w:ilvl w:val="0"/>
          <w:numId w:val="2"/>
        </w:numPr>
        <w:spacing w:after="45" w:line="252"/>
      </w:pPr>
      <w:r>
        <w:rPr>
          <w:b/>
          <w:bCs/>
        </w:rPr>
        <w:t xml:space="preserve">Cut-off.</w:t>
      </w:r>
      <w:r>
        <w:t xml:space="preserve"> GLiNER gives each span a confidence, so we need a cut-off above which a span is masked. We set it once on a few hundred clean sentences from the ai4privacy training split, leaning toward catching more PII, and keep it fixed for every test condition. Presidio and BERT use their default settings.</w:t>
      </w:r>
    </w:p>
    <w:p>
      <w:pPr>
        <w:pStyle w:val="Heading2"/>
        <w:keepNext/>
        <w:keepLines/>
      </w:pPr>
      <w:r>
        <w:t xml:space="preserve">5.3 Unmasking: demo and self-evaluation</w:t>
      </w:r>
    </w:p>
    <w:p>
      <w:pPr>
        <w:spacing w:after="70" w:line="258"/>
      </w:pPr>
      <w:r>
        <w:t xml:space="preserve">The demo runs the whole filter: one of the three detectors, masking with numbered placeholders and a local mapping, a hosted chat LLM called through its API, and unmasking by replacing each placeholder with its stored value. We write about 20 prompts for everyday tasks (an email, a message to a landlord, a form), each in a clean and a noisy version, and check three questions for each:</w:t>
      </w:r>
    </w:p>
    <w:p>
      <w:pPr>
        <w:pStyle w:val="ListParagraph"/>
        <w:numPr>
          <w:ilvl w:val="0"/>
          <w:numId w:val="2"/>
        </w:numPr>
        <w:spacing w:after="45" w:line="252"/>
      </w:pPr>
      <w:r>
        <w:rPr>
          <w:b/>
          <w:bCs/>
        </w:rPr>
        <w:t xml:space="preserve">Private?</w:t>
      </w:r>
      <w:r>
        <w:t xml:space="preserve"> None of the original values appears in the text sent to the LLM.</w:t>
      </w:r>
    </w:p>
    <w:p>
      <w:pPr>
        <w:pStyle w:val="ListParagraph"/>
        <w:numPr>
          <w:ilvl w:val="0"/>
          <w:numId w:val="2"/>
        </w:numPr>
        <w:spacing w:after="45" w:line="252"/>
      </w:pPr>
      <w:r>
        <w:rPr>
          <w:b/>
          <w:bCs/>
        </w:rPr>
        <w:t xml:space="preserve">Enough context?</w:t>
      </w:r>
      <w:r>
        <w:t xml:space="preserve"> The LLM's answer does the task and puts the placeholders in the right places; masking did not remove something the task needed.</w:t>
      </w:r>
    </w:p>
    <w:p>
      <w:pPr>
        <w:pStyle w:val="ListParagraph"/>
        <w:numPr>
          <w:ilvl w:val="0"/>
          <w:numId w:val="2"/>
        </w:numPr>
        <w:spacing w:after="45" w:line="252"/>
      </w:pPr>
      <w:r>
        <w:rPr>
          <w:b/>
          <w:bCs/>
        </w:rPr>
        <w:t xml:space="preserve">Usable answer?</w:t>
      </w:r>
      <w:r>
        <w:t xml:space="preserve"> After unmasking, every placeholder has been replaced by the right value and the answer reads naturally.</w:t>
      </w:r>
    </w:p>
    <w:p>
      <w:pPr>
        <w:spacing w:after="70" w:before="60" w:line="258"/>
      </w:pPr>
      <w:r>
        <w:t xml:space="preserve">We report how many prompts pass each check and show typical failures, e.g. the LLM rewrites a placeholder (</w:t>
      </w:r>
      <w:r>
        <w:rPr>
          <w:rFonts w:ascii="Consolas" w:cs="Consolas" w:eastAsia="Consolas" w:hAnsi="Consolas"/>
          <w:sz w:val="17"/>
          <w:szCs w:val="17"/>
        </w:rPr>
        <w:t xml:space="preserve">&lt;NAME_1&gt;</w:t>
      </w:r>
      <w:r>
        <w:t xml:space="preserve"> → </w:t>
      </w:r>
      <w:r>
        <w:rPr>
          <w:rFonts w:ascii="Consolas" w:cs="Consolas" w:eastAsia="Consolas" w:hAnsi="Consolas"/>
          <w:sz w:val="17"/>
          <w:szCs w:val="17"/>
        </w:rPr>
        <w:t xml:space="preserve">Name 1</w:t>
      </w:r>
      <w:r>
        <w:t xml:space="preserve">), drops it, or invents a detail it could not see.</w:t>
      </w:r>
    </w:p>
    <w:p>
      <w:pPr>
        <w:pStyle w:val="Heading2"/>
        <w:keepNext/>
        <w:keepLines/>
      </w:pPr>
      <w:r>
        <w:t xml:space="preserve">5.4 Toy experiment (feasibility)</w:t>
      </w:r>
    </w:p>
    <w:p>
      <w:pPr>
        <w:spacing w:after="70" w:line="258"/>
      </w:pPr>
      <w:r>
        <w:t xml:space="preserve">The toy experiment shows that the whole filter works end to end on one or two prompts. It produces no scores: the result is the output of each step, plus a yes or no for the three questions of Section 5.3.</w:t>
      </w:r>
    </w:p>
    <w:p>
      <w:pPr>
        <w:spacing w:after="55" w:line="252"/>
      </w:pPr>
      <w:r>
        <w:rPr>
          <w:b/>
          <w:bCs/>
          <w:color w:val="A61955"/>
        </w:rPr>
        <w:t xml:space="preserve">Setup.  </w:t>
      </w:r>
      <w:r>
        <w:t xml:space="preserve">The demo pipeline with the GLiNER detector, which takes our label names directly, so no label mapping is needed.</w:t>
      </w:r>
    </w:p>
    <w:p>
      <w:pPr>
        <w:spacing w:after="55" w:line="252"/>
      </w:pPr>
      <w:r>
        <w:rPr>
          <w:b/>
          <w:bCs/>
          <w:color w:val="A61955"/>
        </w:rPr>
        <w:t xml:space="preserve">Example 1 (clean).  </w:t>
      </w:r>
      <w:r>
        <w:rPr>
          <w:rFonts w:ascii="Consolas" w:cs="Consolas" w:eastAsia="Consolas" w:hAnsi="Consolas"/>
          <w:sz w:val="17"/>
          <w:szCs w:val="17"/>
        </w:rPr>
        <w:t xml:space="preserve">Write a short message to my landlord. I'm Minji Park from 41 Maple Street, and my heater is broken. He can call me at 010-2345-6789.</w:t>
      </w:r>
    </w:p>
    <w:p>
      <w:pPr>
        <w:spacing w:after="55" w:line="252"/>
      </w:pPr>
      <w:r>
        <w:rPr>
          <w:b/>
          <w:bCs/>
          <w:color w:val="A61955"/>
        </w:rPr>
        <w:t xml:space="preserve">Example 2 (noisy).  </w:t>
      </w:r>
      <w:r>
        <w:t xml:space="preserve">The same request typed carelessly: </w:t>
      </w:r>
      <w:r>
        <w:rPr>
          <w:rFonts w:ascii="Consolas" w:cs="Consolas" w:eastAsia="Consolas" w:hAnsi="Consolas"/>
          <w:sz w:val="17"/>
          <w:szCs w:val="17"/>
        </w:rPr>
        <w:t xml:space="preserve">write a short message to my landlord im minji park from 41 maple stret and my heater is broken he can call me at 010 2345 6789</w:t>
      </w:r>
      <w:r>
        <w:t xml:space="preserve">.</w:t>
      </w:r>
    </w:p>
    <w:p>
      <w:pPr>
        <w:spacing w:after="55" w:line="252"/>
      </w:pPr>
      <w:r>
        <w:rPr>
          <w:b/>
          <w:bCs/>
          <w:color w:val="A61955"/>
        </w:rPr>
        <w:t xml:space="preserve">Correct masking.  </w:t>
      </w:r>
      <w:r>
        <w:rPr>
          <w:rFonts w:ascii="Consolas" w:cs="Consolas" w:eastAsia="Consolas" w:hAnsi="Consolas"/>
          <w:sz w:val="17"/>
          <w:szCs w:val="17"/>
        </w:rPr>
        <w:t xml:space="preserve">… I'm &lt;NAME_1&gt; from &lt;ADDRESS_1&gt;, and my heater is broken. He can call me at &lt;PHONE_1&gt;.</w:t>
      </w:r>
    </w:p>
    <w:p>
      <w:pPr>
        <w:keepNext/>
        <w:spacing w:after="40" w:before="60"/>
      </w:pPr>
      <w:r>
        <w:rPr>
          <w:i/>
          <w:iCs/>
          <w:color w:val="55524E"/>
          <w:sz w:val="14"/>
          <w:szCs w:val="14"/>
        </w:rPr>
        <w:t xml:space="preserve">Table 9. Toy experiment: what to record for each example.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253"/>
        <w:gridCol w:w="3253"/>
      </w:tblGrid>
      <w:tr>
        <w:trPr>
          <w:cantSplit/>
          <w:tblHeader/>
        </w:trPr>
        <w:tc>
          <w:tcPr>
            <w:tcW w:type="dxa" w:w="3000"/>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p>
        </w:tc>
        <w:tc>
          <w:tcPr>
            <w:tcW w:type="dxa" w:w="3253"/>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Example 1 (clean)</w:t>
            </w:r>
          </w:p>
        </w:tc>
        <w:tc>
          <w:tcPr>
            <w:tcW w:type="dxa" w:w="3253"/>
            <w:tcBorders>
              <w:top w:val="single" w:color="C9C5BF" w:sz="4"/>
              <w:left w:val="single" w:color="C9C5BF" w:sz="4"/>
              <w:bottom w:val="single" w:color="C9C5BF" w:sz="4"/>
              <w:right w:val="single" w:color="C9C5BF" w:sz="4"/>
            </w:tcBorders>
            <w:shd w:fill="EAE7E2" w:color="auto" w:val="clear"/>
            <w:tcMar>
              <w:top w:type="dxa" w:w="28"/>
              <w:left w:type="dxa" w:w="80"/>
              <w:bottom w:type="dxa" w:w="28"/>
              <w:right w:type="dxa" w:w="80"/>
            </w:tcMar>
          </w:tcPr>
          <w:p>
            <w:pPr>
              <w:keepNext/>
              <w:spacing w:after="0" w:line="228"/>
            </w:pPr>
            <w:r>
              <w:rPr>
                <w:b/>
                <w:bCs/>
                <w:sz w:val="15"/>
                <w:szCs w:val="15"/>
              </w:rPr>
              <w:t xml:space="preserve">Example 2 (noisy)</w:t>
            </w:r>
          </w:p>
        </w:tc>
      </w:tr>
      <w:tr>
        <w:trPr>
          <w:cantSplit/>
        </w:trPr>
        <w:tc>
          <w:tcPr>
            <w:tcW w:type="dxa" w:w="30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Prompt sent to the LLM</w:t>
            </w:r>
          </w:p>
        </w:tc>
        <w:tc>
          <w:tcPr>
            <w:tcW w:type="dxa" w:w="3253"/>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3253"/>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r>
      <w:tr>
        <w:trPr>
          <w:cantSplit/>
        </w:trPr>
        <w:tc>
          <w:tcPr>
            <w:tcW w:type="dxa" w:w="30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LLM answer (masked)</w:t>
            </w:r>
          </w:p>
        </w:tc>
        <w:tc>
          <w:tcPr>
            <w:tcW w:type="dxa" w:w="3253"/>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3253"/>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r>
      <w:tr>
        <w:trPr>
          <w:cantSplit/>
        </w:trPr>
        <w:tc>
          <w:tcPr>
            <w:tcW w:type="dxa" w:w="30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r>
              <w:rPr>
                <w:b/>
                <w:bCs/>
                <w:sz w:val="15"/>
                <w:szCs w:val="15"/>
              </w:rPr>
              <w:t xml:space="preserve">Answer shown to the user</w:t>
            </w:r>
          </w:p>
        </w:tc>
        <w:tc>
          <w:tcPr>
            <w:tcW w:type="dxa" w:w="3253"/>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c>
          <w:tcPr>
            <w:tcW w:type="dxa" w:w="3253"/>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spacing w:after="0" w:line="228"/>
            </w:pPr>
          </w:p>
        </w:tc>
      </w:tr>
      <w:tr>
        <w:trPr>
          <w:cantSplit/>
        </w:trPr>
        <w:tc>
          <w:tcPr>
            <w:tcW w:type="dxa" w:w="3000"/>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r>
              <w:rPr>
                <w:b/>
                <w:bCs/>
                <w:sz w:val="15"/>
                <w:szCs w:val="15"/>
              </w:rPr>
              <w:t xml:space="preserve">Private? / Enough context? / Usable answer?</w:t>
            </w:r>
          </w:p>
        </w:tc>
        <w:tc>
          <w:tcPr>
            <w:tcW w:type="dxa" w:w="3253"/>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c>
          <w:tcPr>
            <w:tcW w:type="dxa" w:w="3253"/>
            <w:tcBorders>
              <w:top w:val="single" w:color="C9C5BF" w:sz="4"/>
              <w:left w:val="single" w:color="C9C5BF" w:sz="4"/>
              <w:bottom w:val="single" w:color="C9C5BF" w:sz="4"/>
              <w:right w:val="single" w:color="C9C5BF" w:sz="4"/>
            </w:tcBorders>
            <w:tcMar>
              <w:top w:type="dxa" w:w="28"/>
              <w:left w:type="dxa" w:w="80"/>
              <w:bottom w:type="dxa" w:w="28"/>
              <w:right w:type="dxa" w:w="80"/>
            </w:tcMar>
          </w:tcPr>
          <w:p>
            <w:pPr>
              <w:keepNext w:val="false"/>
              <w:spacing w:after="0" w:line="228"/>
            </w:pPr>
          </w:p>
        </w:tc>
      </w:tr>
    </w:tbl>
    <w:p>
      <w:pPr>
        <w:spacing w:after="70" w:before="60"/>
      </w:pPr>
      <w:r>
        <w:t xml:space="preserve">If example 2 leaks a value that example 1 masks, it is a concrete case for RQ2.</w:t>
      </w:r>
    </w:p>
    <w:p>
      <w:pPr>
        <w:pStyle w:val="Heading1"/>
        <w:keepNext/>
        <w:keepLines/>
      </w:pPr>
      <w:r>
        <w:t xml:space="preserve">6. Summary and Next Steps</w:t>
      </w:r>
    </w:p>
    <w:p>
      <w:pPr>
        <w:pStyle w:val="ListParagraph"/>
        <w:numPr>
          <w:ilvl w:val="0"/>
          <w:numId w:val="2"/>
        </w:numPr>
        <w:spacing w:after="45" w:line="252"/>
      </w:pPr>
      <w:r>
        <w:rPr>
          <w:b/>
          <w:bCs/>
        </w:rPr>
        <w:t xml:space="preserve">Summary.</w:t>
      </w:r>
      <w:r>
        <w:t xml:space="preserve"> A filter that masks PII before a prompt reaches a cloud LLM and restores it in the answer. We benchmark masking for three detectors on three datasets, clean and noisy, with strict F1 and F2, and show the full loop in a demo checked by the team.</w:t>
      </w:r>
    </w:p>
    <w:p>
      <w:pPr>
        <w:pStyle w:val="ListParagraph"/>
        <w:numPr>
          <w:ilvl w:val="0"/>
          <w:numId w:val="2"/>
        </w:numPr>
        <w:spacing w:after="45" w:line="252"/>
      </w:pPr>
      <w:r>
        <w:rPr>
          <w:b/>
          <w:bCs/>
        </w:rPr>
        <w:t xml:space="preserve">Before the proposal (Oct 19):</w:t>
      </w:r>
      <w:r>
        <w:t xml:space="preserve"> implement the toy experiment; fill the Metrics, Benchmarks, Experiment Design and Toy Experiment slides from Sections 4–5.</w:t>
      </w:r>
    </w:p>
    <w:p>
      <w:pPr>
        <w:pStyle w:val="ListParagraph"/>
        <w:numPr>
          <w:ilvl w:val="0"/>
          <w:numId w:val="2"/>
        </w:numPr>
        <w:spacing w:after="45" w:line="252"/>
      </w:pPr>
      <w:r>
        <w:rPr>
          <w:b/>
          <w:bCs/>
        </w:rPr>
        <w:t xml:space="preserve">After the proposal:</w:t>
      </w:r>
      <w:r>
        <w:t xml:space="preserve"> set up the three detectors with label mapping and scoring; write the noise script; run RQ1 and RQ2; build the demo and run the unmasking check. If time allows: augmentation (Appendix B).</w:t>
      </w:r>
    </w:p>
    <w:p>
      <w:pPr>
        <w:pStyle w:val="Heading1"/>
        <w:keepNext/>
        <w:keepLines/>
      </w:pPr>
      <w:r>
        <w:t xml:space="preserve">References</w:t>
      </w:r>
    </w:p>
    <w:p>
      <w:pPr>
        <w:spacing w:after="12" w:line="212"/>
        <w:ind w:left="320" w:hanging="320"/>
      </w:pPr>
      <w:r>
        <w:rPr>
          <w:sz w:val="14"/>
          <w:szCs w:val="14"/>
        </w:rPr>
        <w:t xml:space="preserve">Ai4Privacy. (2025). Open PII Masking 500k Dataset. Hugging Face. doi:10.57967/hf/4852.</w:t>
      </w:r>
    </w:p>
    <w:p>
      <w:pPr>
        <w:spacing w:after="12" w:line="212"/>
        <w:ind w:left="320" w:hanging="320"/>
      </w:pPr>
      <w:r>
        <w:rPr>
          <w:sz w:val="14"/>
          <w:szCs w:val="14"/>
        </w:rPr>
        <w:t xml:space="preserve">Belinkov, Y., &amp; Bisk, Y. (2018). Synthetic and natural noise both break neural machine translation. In Proceedings of ICLR 2018.</w:t>
      </w:r>
    </w:p>
    <w:p>
      <w:pPr>
        <w:spacing w:after="12" w:line="212"/>
        <w:ind w:left="320" w:hanging="320"/>
      </w:pPr>
      <w:r>
        <w:rPr>
          <w:sz w:val="14"/>
          <w:szCs w:val="14"/>
        </w:rPr>
        <w:t xml:space="preserve">Bikel, D. M., Miller, S., Schwartz, R., &amp; Weischedel, R. (1997). Nymble: A high-performance learning name-finder. In Proceedings of ANLP 1997, 194–201.</w:t>
      </w:r>
    </w:p>
    <w:p>
      <w:pPr>
        <w:spacing w:after="12" w:line="212"/>
        <w:ind w:left="320" w:hanging="320"/>
      </w:pPr>
      <w:r>
        <w:rPr>
          <w:sz w:val="14"/>
          <w:szCs w:val="14"/>
        </w:rPr>
        <w:t xml:space="preserve">Bodapati, S., Yun, H., &amp; Al-Onaizan, Y. (2019). Robustness to capitalization errors in named entity recognition. In Proceedings of W-NUT 2019.</w:t>
      </w:r>
    </w:p>
    <w:p>
      <w:pPr>
        <w:spacing w:after="12" w:line="212"/>
        <w:ind w:left="320" w:hanging="320"/>
      </w:pPr>
      <w:r>
        <w:rPr>
          <w:sz w:val="14"/>
          <w:szCs w:val="14"/>
        </w:rPr>
        <w:t xml:space="preserve">Chen, Y., Li, T., Liu, H., &amp; Yu, Y. (2023). Hide and seek (HaS): A lightweight framework for prompt privacy protection. arXiv:2309.03057.</w:t>
      </w:r>
    </w:p>
    <w:p>
      <w:pPr>
        <w:spacing w:after="12" w:line="212"/>
        <w:ind w:left="320" w:hanging="320"/>
      </w:pPr>
      <w:r>
        <w:rPr>
          <w:sz w:val="14"/>
          <w:szCs w:val="14"/>
        </w:rPr>
        <w:t xml:space="preserve">Devlin, J., Chang, M.-W., Lee, K., &amp; Toutanova, K. (2019). BERT: Pre-training of deep bidirectional transformers for language understanding. In Proceedings of NAACL-HLT 2019, 4171–4186.</w:t>
      </w:r>
    </w:p>
    <w:p>
      <w:pPr>
        <w:spacing w:after="12" w:line="212"/>
        <w:ind w:left="320" w:hanging="320"/>
      </w:pPr>
      <w:r>
        <w:rPr>
          <w:sz w:val="14"/>
          <w:szCs w:val="14"/>
        </w:rPr>
        <w:t xml:space="preserve">Dhole, K. D., et al. (2023). NL-Augmenter: A framework for task-sensitive natural language augmentation. Northern European Journal of Language Technology.</w:t>
      </w:r>
    </w:p>
    <w:p>
      <w:pPr>
        <w:spacing w:after="12" w:line="212"/>
        <w:ind w:left="320" w:hanging="320"/>
      </w:pPr>
      <w:r>
        <w:rPr>
          <w:sz w:val="14"/>
          <w:szCs w:val="14"/>
        </w:rPr>
        <w:t xml:space="preserve">Gravitee. (2026). bert-small-pii-detection [Model card]. Hugging Face. https://huggingface.co/gravitee-io/bert-small-pii-detection</w:t>
      </w:r>
    </w:p>
    <w:p>
      <w:pPr>
        <w:spacing w:after="12" w:line="212"/>
        <w:ind w:left="320" w:hanging="320"/>
      </w:pPr>
      <w:r>
        <w:rPr>
          <w:sz w:val="14"/>
          <w:szCs w:val="14"/>
        </w:rPr>
        <w:t xml:space="preserve">Hagiwara, M., &amp; Mita, M. (2020). GitHub Typo Corpus: A large-scale multilingual dataset of misspellings and grammatical errors. In Proceedings of LREC 2020.</w:t>
      </w:r>
    </w:p>
    <w:p>
      <w:pPr>
        <w:spacing w:after="12" w:line="212"/>
        <w:ind w:left="320" w:hanging="320"/>
      </w:pPr>
      <w:r>
        <w:rPr>
          <w:sz w:val="14"/>
          <w:szCs w:val="14"/>
        </w:rPr>
        <w:t xml:space="preserve">Hammerton, J. (2003). Named entity recognition with long short-term memory. In Proceedings of CoNLL 2003, 172–175.</w:t>
      </w:r>
    </w:p>
    <w:p>
      <w:pPr>
        <w:spacing w:after="12" w:line="212"/>
        <w:ind w:left="320" w:hanging="320"/>
      </w:pPr>
      <w:r>
        <w:rPr>
          <w:sz w:val="14"/>
          <w:szCs w:val="14"/>
        </w:rPr>
        <w:t xml:space="preserve">Hobbs, J. R., Appelt, D. E., Bear, J., Israel, D., Kameyama, M., Stickel, M. E., &amp; Tyson, M. (1997). FASTUS: A cascaded finite-state transducer for extracting information from natural-language text. In E. Roche &amp; Y. Schabes (Eds.), Finite-State Language Processing, 383–406. MIT Press.</w:t>
      </w:r>
    </w:p>
    <w:p>
      <w:pPr>
        <w:spacing w:after="12" w:line="212"/>
        <w:ind w:left="320" w:hanging="320"/>
      </w:pPr>
      <w:r>
        <w:rPr>
          <w:sz w:val="14"/>
          <w:szCs w:val="14"/>
        </w:rPr>
        <w:t xml:space="preserve">Huang, Z., Xu, W., &amp; Yu, K. (2015). Bidirectional LSTM-CRF models for sequence tagging. arXiv:1508.01991.</w:t>
      </w:r>
    </w:p>
    <w:p>
      <w:pPr>
        <w:spacing w:after="12" w:line="212"/>
        <w:ind w:left="320" w:hanging="320"/>
      </w:pPr>
      <w:r>
        <w:rPr>
          <w:sz w:val="14"/>
          <w:szCs w:val="14"/>
        </w:rPr>
        <w:t xml:space="preserve">Jurafsky, D., &amp; Martin, J. H. (2025). Speech and Language Processing (3rd ed. draft). Chapter: Sequence labeling for parts of speech and named entities.</w:t>
      </w:r>
    </w:p>
    <w:p>
      <w:pPr>
        <w:spacing w:after="12" w:line="212"/>
        <w:ind w:left="320" w:hanging="320"/>
      </w:pPr>
      <w:r>
        <w:rPr>
          <w:sz w:val="14"/>
          <w:szCs w:val="14"/>
        </w:rPr>
        <w:t xml:space="preserve">LangChain. (2023). Handling PII data in LangChain (PresidioReversibleAnonymizer).</w:t>
      </w:r>
    </w:p>
    <w:p>
      <w:pPr>
        <w:spacing w:after="12" w:line="212"/>
        <w:ind w:left="320" w:hanging="320"/>
      </w:pPr>
      <w:r>
        <w:rPr>
          <w:sz w:val="14"/>
          <w:szCs w:val="14"/>
        </w:rPr>
        <w:t xml:space="preserve">Li, S., Raghuram, V. C., Khattab, O., Hirschberg, J., &amp; Yu, Z. (2025). PAPILLON: Privacy preservation from internet-based and local language model ensembles. In Proceedings of NAACL 2025. arXiv:2410.17127.</w:t>
      </w:r>
    </w:p>
    <w:p>
      <w:pPr>
        <w:spacing w:after="12" w:line="212"/>
        <w:ind w:left="320" w:hanging="320"/>
      </w:pPr>
      <w:r>
        <w:rPr>
          <w:sz w:val="14"/>
          <w:szCs w:val="14"/>
        </w:rPr>
        <w:t xml:space="preserve">Lin, B. Y., Gao, W., Yan, J., Moreno, R., &amp; Ren, X. (2021). RockNER: A simple method to create adversarial examples for evaluating the robustness of named entity recognition models. In Proceedings of EMNLP 2021, 3728–3737.</w:t>
      </w:r>
    </w:p>
    <w:p>
      <w:pPr>
        <w:spacing w:after="12" w:line="212"/>
        <w:ind w:left="320" w:hanging="320"/>
      </w:pPr>
      <w:r>
        <w:rPr>
          <w:sz w:val="14"/>
          <w:szCs w:val="14"/>
        </w:rPr>
        <w:t xml:space="preserve">Mayhew, S., Tsygankova, T., &amp; Roth, D. (2019). ner and pos when nothing is capitalized. In Proceedings of EMNLP-IJCNLP 2019.</w:t>
      </w:r>
    </w:p>
    <w:p>
      <w:pPr>
        <w:spacing w:after="12" w:line="212"/>
        <w:ind w:left="320" w:hanging="320"/>
      </w:pPr>
      <w:r>
        <w:rPr>
          <w:sz w:val="14"/>
          <w:szCs w:val="14"/>
        </w:rPr>
        <w:t xml:space="preserve">McCallister, E., Grance, T., &amp; Scarfone, K. (2010). Guide to protecting the confidentiality of personally identifiable information (PII). NIST Special Publication 800-122.</w:t>
      </w:r>
    </w:p>
    <w:p>
      <w:pPr>
        <w:spacing w:after="12" w:line="212"/>
        <w:ind w:left="320" w:hanging="320"/>
      </w:pPr>
      <w:r>
        <w:rPr>
          <w:sz w:val="14"/>
          <w:szCs w:val="14"/>
        </w:rPr>
        <w:t xml:space="preserve">Microsoft. (n.d.). Presidio: Data protection and de-identification SDK. https://github.com/microsoft/presidio</w:t>
      </w:r>
    </w:p>
    <w:p>
      <w:pPr>
        <w:spacing w:after="12" w:line="212"/>
        <w:ind w:left="320" w:hanging="320"/>
      </w:pPr>
      <w:r>
        <w:rPr>
          <w:sz w:val="14"/>
          <w:szCs w:val="14"/>
        </w:rPr>
        <w:t xml:space="preserve">Namysl, M., Behnke, S., &amp; Köhler, J. (2020). NAT: Noise-aware training for robust neural sequence labeling. In Proceedings of ACL 2020, 1501–1517.</w:t>
      </w:r>
    </w:p>
    <w:p>
      <w:pPr>
        <w:spacing w:after="12" w:line="212"/>
        <w:ind w:left="320" w:hanging="320"/>
      </w:pPr>
      <w:r>
        <w:rPr>
          <w:sz w:val="14"/>
          <w:szCs w:val="14"/>
        </w:rPr>
        <w:t xml:space="preserve">Private AI. (2023). Introducing PrivateGPT.</w:t>
      </w:r>
    </w:p>
    <w:p>
      <w:pPr>
        <w:spacing w:after="12" w:line="212"/>
        <w:ind w:left="320" w:hanging="320"/>
      </w:pPr>
      <w:r>
        <w:rPr>
          <w:sz w:val="14"/>
          <w:szCs w:val="14"/>
        </w:rPr>
        <w:t xml:space="preserve">Protect AI. (2023). LLM Guard: Anonymize and deanonymize scanners.</w:t>
      </w:r>
    </w:p>
    <w:p>
      <w:pPr>
        <w:spacing w:after="12" w:line="212"/>
        <w:ind w:left="320" w:hanging="320"/>
      </w:pPr>
      <w:r>
        <w:rPr>
          <w:sz w:val="14"/>
          <w:szCs w:val="14"/>
        </w:rPr>
        <w:t xml:space="preserve">Pruthi, D., Dhingra, B., &amp; Lipton, Z. C. (2019). Combating adversarial misspellings with robust word recognition. In Proceedings of ACL 2019.</w:t>
      </w:r>
    </w:p>
    <w:p>
      <w:pPr>
        <w:spacing w:after="12" w:line="212"/>
        <w:ind w:left="320" w:hanging="320"/>
      </w:pPr>
      <w:r>
        <w:rPr>
          <w:sz w:val="14"/>
          <w:szCs w:val="14"/>
        </w:rPr>
        <w:t xml:space="preserve">Steier, A., Manoel, A., Haushalter, A., &amp; Van Segbroeck, M. (2025). Nemotron-PII: Synthesized data for privacy-preserving AI. NVIDIA, Hugging Face.</w:t>
      </w:r>
    </w:p>
    <w:p>
      <w:pPr>
        <w:spacing w:after="12" w:line="212"/>
        <w:ind w:left="320" w:hanging="320"/>
      </w:pPr>
      <w:r>
        <w:rPr>
          <w:sz w:val="14"/>
          <w:szCs w:val="14"/>
        </w:rPr>
        <w:t xml:space="preserve">Watson, A., Meyer, Y., Van Segbroeck, M., Grossman, M., Torbey, S., Mlocek, P., &amp; Greco, J. (2024). Synthetic-PII-Financial-Documents-North-America. Gretel.ai, Hugging Face.</w:t>
      </w:r>
    </w:p>
    <w:p>
      <w:pPr>
        <w:spacing w:after="12" w:line="212"/>
        <w:ind w:left="320" w:hanging="320"/>
      </w:pPr>
      <w:r>
        <w:rPr>
          <w:sz w:val="14"/>
          <w:szCs w:val="14"/>
        </w:rPr>
        <w:t xml:space="preserve">Zafar, A., &amp; Nowaczyk, S. (2026). Mind the Gap: Robustness risks in PII detection systems. arXiv:2609.03464.</w:t>
      </w:r>
    </w:p>
    <w:p>
      <w:pPr>
        <w:spacing w:after="12" w:line="212"/>
        <w:ind w:left="320" w:hanging="320"/>
      </w:pPr>
      <w:r>
        <w:rPr>
          <w:sz w:val="14"/>
          <w:szCs w:val="14"/>
        </w:rPr>
        <w:t xml:space="preserve">Zaratiana, U. (2024). gliner_multi_pii-v1 [Model card]. Hugging Face. https://huggingface.co/urchade/gliner_multi_pii-v1</w:t>
      </w:r>
    </w:p>
    <w:p>
      <w:pPr>
        <w:spacing w:after="12" w:line="212"/>
        <w:ind w:left="320" w:hanging="320"/>
      </w:pPr>
      <w:r>
        <w:rPr>
          <w:sz w:val="14"/>
          <w:szCs w:val="14"/>
        </w:rPr>
        <w:t xml:space="preserve">Zaratiana, U., Tomeh, N., Holat, P., &amp; Charnois, T. (2024). GLiNER: Generalist model for named entity recognition using bidirectional transformer. In Proceedings of NAACL 2024. arXiv:2311.08526.</w:t>
      </w:r>
    </w:p>
    <w:p>
      <w:pPr>
        <w:spacing w:after="12" w:line="212"/>
        <w:ind w:left="320" w:hanging="320"/>
      </w:pPr>
      <w:r>
        <w:rPr>
          <w:sz w:val="14"/>
          <w:szCs w:val="14"/>
        </w:rPr>
        <w:t xml:space="preserve">Zhou, J., Xu, E., Wu, Y., &amp; Li, T. (2025). Rescriber: Smaller-LLM-powered user-led data minimization for LLM-based chatbots. In Proceedings of CHI 2025. arXiv:2410.11876.</w:t>
      </w:r>
    </w:p>
    <w:p>
      <w:pPr>
        <w:pStyle w:val="Heading1"/>
        <w:keepNext/>
        <w:keepLines/>
      </w:pPr>
      <w:r>
        <w:t xml:space="preserve">Appendix A. Baselines</w:t>
      </w:r>
    </w:p>
    <w:p>
      <w:pPr>
        <w:pStyle w:val="Heading2"/>
        <w:keepNext/>
        <w:keepLines/>
      </w:pPr>
      <w:r>
        <w:t xml:space="preserve">A.1 Regex: Microsoft Presidio (rules only)</w:t>
      </w:r>
    </w:p>
    <w:p>
      <w:pPr>
        <w:spacing w:after="55" w:line="252"/>
      </w:pPr>
      <w:r>
        <w:rPr>
          <w:b/>
          <w:bCs/>
          <w:color w:val="A61955"/>
        </w:rPr>
        <w:t xml:space="preserve">What it is.  </w:t>
      </w:r>
      <w:r>
        <w:t xml:space="preserve">Microsoft's open-source PII toolkit (Microsoft, n.d.). Its analyzer normally combines pattern recognizers with a general NER model; we keep only the pattern recognizers. They match emails, phone numbers, card numbers (with a checksum check) and dates, and raise their confidence when a context word such as "phone" is nearby.</w:t>
      </w:r>
    </w:p>
    <w:p>
      <w:pPr>
        <w:spacing w:after="55" w:line="252"/>
      </w:pPr>
      <w:r>
        <w:rPr>
          <w:b/>
          <w:bCs/>
          <w:color w:val="A61955"/>
        </w:rPr>
        <w:t xml:space="preserve">Mapping.  </w:t>
      </w:r>
      <w:r>
        <w:t xml:space="preserve">EMAIL_ADDRESS → EMAIL, PHONE_NUMBER → PHONE, CREDIT_CARD → CARD_NUMBER, DATE_TIME → DATE_OF_BIRTH.</w:t>
      </w:r>
    </w:p>
    <w:p>
      <w:pPr>
        <w:spacing w:after="55" w:line="252"/>
      </w:pPr>
      <w:r>
        <w:rPr>
          <w:b/>
          <w:bCs/>
          <w:color w:val="A61955"/>
        </w:rPr>
        <w:t xml:space="preserve">Role.  </w:t>
      </w:r>
      <w:r>
        <w:t xml:space="preserve">The rule baseline and the industry reference. It cannot find names or addresses, which have no fixed format; this shows what rules alone miss.</w:t>
      </w:r>
    </w:p>
    <w:p>
      <w:pPr>
        <w:pStyle w:val="Heading2"/>
        <w:keepNext/>
        <w:keepLines/>
      </w:pPr>
      <w:r>
        <w:t xml:space="preserve">A.2 BERT: gravitee-io/bert-small-pii-detection</w:t>
      </w:r>
    </w:p>
    <w:p>
      <w:pPr>
        <w:spacing w:after="55" w:line="252"/>
      </w:pPr>
      <w:r>
        <w:rPr>
          <w:b/>
          <w:bCs/>
          <w:color w:val="A61955"/>
        </w:rPr>
        <w:t xml:space="preserve">What it is.  </w:t>
      </w:r>
      <w:r>
        <w:t xml:space="preserve">BERT-small (28.5M parameters) fine-tuned by Gravitee to label each token with one of 25 PII classes named as in Presidio (Gravitee, 2026). It was trained on a 176k-example mix of six public synthetic PII datasets (workplace messages, chat logs, forms, financial documents); the mix includes Gretel PII finance (Watson et al., 2024) but not ai4privacy. Its model card reports F1 0.87 on its own evaluation data.</w:t>
      </w:r>
    </w:p>
    <w:p>
      <w:pPr>
        <w:spacing w:after="55" w:line="252"/>
      </w:pPr>
      <w:r>
        <w:rPr>
          <w:b/>
          <w:bCs/>
          <w:color w:val="A61955"/>
        </w:rPr>
        <w:t xml:space="preserve">Mapping.  </w:t>
      </w:r>
      <w:r>
        <w:t xml:space="preserve">PERSON → NAME, EMAIL_ADDRESS → EMAIL, PHONE_NUMBER → PHONE, LOCATION → ADDRESS, DATE_TIME → DATE_OF_BIRTH, CREDIT_CARD → CARD_NUMBER. LOCATION and DATE_TIME are broader than our labels (any place, any date), which lowers precision.</w:t>
      </w:r>
    </w:p>
    <w:p>
      <w:pPr>
        <w:spacing w:after="55" w:line="252"/>
      </w:pPr>
      <w:r>
        <w:rPr>
          <w:b/>
          <w:bCs/>
          <w:color w:val="A61955"/>
        </w:rPr>
        <w:t xml:space="preserve">Role.  </w:t>
      </w:r>
      <w:r>
        <w:t xml:space="preserve">The fine-tuned encoder baseline, and the starting point for the optional augmentation experiment (Appendix B).</w:t>
      </w:r>
    </w:p>
    <w:p>
      <w:pPr>
        <w:pStyle w:val="Heading2"/>
        <w:keepNext/>
        <w:keepLines/>
      </w:pPr>
      <w:r>
        <w:t xml:space="preserve">A.3 GLiNER: urchade/gliner_multi_pii-v1</w:t>
      </w:r>
    </w:p>
    <w:p>
      <w:pPr>
        <w:spacing w:after="55" w:line="252"/>
      </w:pPr>
      <w:r>
        <w:rPr>
          <w:b/>
          <w:bCs/>
          <w:color w:val="A61955"/>
        </w:rPr>
        <w:t xml:space="preserve">What it is.  </w:t>
      </w:r>
      <w:r>
        <w:t xml:space="preserve">A GLiNER model (Zaratiana et al., 2024) fine-tuned for PII by its authors (Zaratiana, 2024), starting from the multilingual GLiNER and trained on synthetic PII data generated with Mistral. It is given the text and a list of label names in plain words, and returns the spans that match each name with a confidence. It covers about 50 PII types in several languages.</w:t>
      </w:r>
    </w:p>
    <w:p>
      <w:pPr>
        <w:spacing w:after="55" w:line="252"/>
      </w:pPr>
      <w:r>
        <w:rPr>
          <w:b/>
          <w:bCs/>
          <w:color w:val="A61955"/>
        </w:rPr>
        <w:t xml:space="preserve">Mapping.  </w:t>
      </w:r>
      <w:r>
        <w:t xml:space="preserve">None needed: we pass our labels as names ("person", "email", "phone number", "street address", "date of birth", "credit card number").</w:t>
      </w:r>
    </w:p>
    <w:p>
      <w:pPr>
        <w:spacing w:after="55" w:line="252"/>
      </w:pPr>
      <w:r>
        <w:rPr>
          <w:b/>
          <w:bCs/>
          <w:color w:val="A61955"/>
        </w:rPr>
        <w:t xml:space="preserve">Role.  </w:t>
      </w:r>
      <w:r>
        <w:t xml:space="preserve">The newest kind of NER model (Table 3), and the detector used in the toy experiment.</w:t>
      </w:r>
    </w:p>
    <w:p>
      <w:pPr>
        <w:pStyle w:val="Heading1"/>
        <w:keepNext/>
        <w:keepLines/>
      </w:pPr>
      <w:r>
        <w:t xml:space="preserve">Appendix B. Augmentation (if time allows)</w:t>
      </w:r>
    </w:p>
    <w:p>
      <w:pPr>
        <w:spacing w:after="70" w:line="258"/>
      </w:pPr>
      <w:r>
        <w:t xml:space="preserve">If the RQ1–RQ2 work leaves time, we add a third question: </w:t>
      </w:r>
      <w:r>
        <w:rPr>
          <w:b/>
          <w:bCs/>
        </w:rPr>
        <w:t xml:space="preserve">does training with noisy copies win back the RQ2 loss, and does it cost accuracy on clean text?</w:t>
      </w:r>
      <w:r>
        <w:t xml:space="preserve"> A common fix for noisy input is to train on noisy copies of the training data (Namysl et al., 2020).</w:t>
      </w:r>
    </w:p>
    <w:p>
      <w:pPr>
        <w:pStyle w:val="ListParagraph"/>
        <w:numPr>
          <w:ilvl w:val="0"/>
          <w:numId w:val="2"/>
        </w:numPr>
        <w:spacing w:after="45" w:line="252"/>
      </w:pPr>
      <w:r>
        <w:rPr>
          <w:b/>
          <w:bCs/>
        </w:rPr>
        <w:t xml:space="preserve">Models.</w:t>
      </w:r>
      <w:r>
        <w:t xml:space="preserve"> Starting from the BERT baseline, we fine-tune two versions on the English ai4privacy training split mapped to our labels: one on clean sentences only, and one with noisy copies of the training sentences added. Settings and training steps are the same, so the only difference is the noisy copies. The noisy training copies use different random seeds from the noisy test copies.</w:t>
      </w:r>
    </w:p>
    <w:p>
      <w:pPr>
        <w:pStyle w:val="ListParagraph"/>
        <w:numPr>
          <w:ilvl w:val="0"/>
          <w:numId w:val="2"/>
        </w:numPr>
        <w:spacing w:after="45" w:line="252"/>
      </w:pPr>
      <w:r>
        <w:rPr>
          <w:b/>
          <w:bCs/>
        </w:rPr>
        <w:t xml:space="preserve">Evaluation.</w:t>
      </w:r>
      <w:r>
        <w:t xml:space="preserve"> Both versions are scored on the clean and noisy test sets with the same metrics and results table as the baselines. The answer is how much of the RQ2 drop the second version wins back, and whether it scores lower on clean text.</w:t>
      </w:r>
    </w:p>
    <w:p>
      <w:pPr>
        <w:pStyle w:val="ListParagraph"/>
        <w:numPr>
          <w:ilvl w:val="0"/>
          <w:numId w:val="2"/>
        </w:numPr>
        <w:spacing w:after="45" w:line="252"/>
      </w:pPr>
      <w:r>
        <w:rPr>
          <w:b/>
          <w:bCs/>
        </w:rPr>
        <w:t xml:space="preserve">Caution.</w:t>
      </w:r>
      <w:r>
        <w:t xml:space="preserve"> Both versions have seen ai4privacy-style sentences, so they are compared with each other, not with the three baselines.</w:t>
      </w:r>
    </w:p>
    <w:sectPr>
      <w:footerReference w:type="default" r:id="rId7"/>
      <w:pgSz w:w="11906" w:h="16838" w:orient="portrait"/>
      <w:pgMar w:top="1000" w:right="1200" w:bottom="9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24E"/>
        <w:sz w:val="15"/>
        <w:szCs w:val="15"/>
      </w:rPr>
      <w:t xml:space="preserve">PIIGuard · Project proposal · </w:t>
    </w:r>
    <w:r>
      <w:rPr>
        <w:color w:val="55524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50"/>
      <w:outlineLvl w:val="0"/>
    </w:pPr>
    <w:rPr>
      <w:rFonts w:ascii="Arial" w:cs="Arial" w:eastAsia="Arial" w:hAnsi="Arial"/>
      <w:b/>
      <w:bCs/>
      <w:color w:val="222222"/>
      <w:sz w:val="23"/>
      <w:szCs w:val="23"/>
    </w:rPr>
  </w:style>
  <w:style w:type="paragraph" w:styleId="Heading2">
    <w:name w:val="Heading 2"/>
    <w:basedOn w:val="Normal"/>
    <w:next w:val="Normal"/>
    <w:qFormat/>
    <w:pPr>
      <w:spacing w:after="50" w:before="110"/>
      <w:outlineLvl w:val="1"/>
    </w:pPr>
    <w:rPr>
      <w:rFonts w:ascii="Arial" w:cs="Arial" w:eastAsia="Arial" w:hAnsi="Arial"/>
      <w:b/>
      <w:bCs/>
      <w:color w:val="A619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 Filter: Project Proposal</dc:title>
  <dc:creator>Suseong</dc:creator>
  <cp:lastModifiedBy>Un-named</cp:lastModifiedBy>
  <cp:revision>1</cp:revision>
  <dcterms:created xsi:type="dcterms:W3CDTF">2026-10-14T07:44:41.893Z</dcterms:created>
  <dcterms:modified xsi:type="dcterms:W3CDTF">2026-10-14T07:44:41.893Z</dcterms:modified>
</cp:coreProperties>
</file>

<file path=docProps/custom.xml><?xml version="1.0" encoding="utf-8"?>
<Properties xmlns="http://schemas.openxmlformats.org/officeDocument/2006/custom-properties" xmlns:vt="http://schemas.openxmlformats.org/officeDocument/2006/docPropsVTypes"/>
</file>