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154C14" w:rsidRDefault="00154C14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 w:rsidRPr="00154C14">
        <w:rPr>
          <w:b/>
          <w:sz w:val="32"/>
          <w:u w:val="single"/>
        </w:rPr>
        <w:t>D</w:t>
      </w:r>
      <w:r w:rsidR="00930F30">
        <w:rPr>
          <w:b/>
          <w:sz w:val="32"/>
          <w:u w:val="single"/>
        </w:rPr>
        <w:t>iseño Interfaces Web</w:t>
      </w:r>
      <w:r w:rsidR="00075BD9" w:rsidRPr="00154C14">
        <w:rPr>
          <w:b/>
          <w:sz w:val="32"/>
          <w:u w:val="single"/>
        </w:rPr>
        <w:t xml:space="preserve"> - </w:t>
      </w:r>
      <w:r w:rsidR="00501994" w:rsidRPr="00154C14">
        <w:rPr>
          <w:b/>
          <w:sz w:val="32"/>
          <w:u w:val="single"/>
        </w:rPr>
        <w:t>U</w:t>
      </w:r>
      <w:r w:rsidR="00205D7B" w:rsidRPr="00154C14">
        <w:rPr>
          <w:b/>
          <w:sz w:val="32"/>
          <w:u w:val="single"/>
        </w:rPr>
        <w:t>d</w:t>
      </w:r>
      <w:r w:rsidR="00527346" w:rsidRPr="00154C14">
        <w:rPr>
          <w:b/>
          <w:sz w:val="32"/>
          <w:u w:val="single"/>
        </w:rPr>
        <w:t xml:space="preserve"> </w:t>
      </w:r>
      <w:r w:rsidR="00A92385">
        <w:rPr>
          <w:b/>
          <w:spacing w:val="-10"/>
          <w:sz w:val="32"/>
          <w:u w:val="single"/>
        </w:rPr>
        <w:t>5</w:t>
      </w:r>
      <w:r w:rsidR="00501994" w:rsidRPr="00154C14">
        <w:rPr>
          <w:b/>
          <w:u w:val="single"/>
        </w:rPr>
        <w:tab/>
      </w:r>
    </w:p>
    <w:p w:rsidR="00205D7B" w:rsidRPr="00154C14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</w:rPr>
      </w:pPr>
    </w:p>
    <w:p w:rsidR="00B1234A" w:rsidRPr="00154C14" w:rsidRDefault="00154C14" w:rsidP="00075BD9">
      <w:pPr>
        <w:pStyle w:val="Textoindependiente"/>
        <w:spacing w:before="14"/>
        <w:ind w:left="-567" w:right="-426"/>
        <w:rPr>
          <w:b/>
          <w:sz w:val="32"/>
          <w:szCs w:val="28"/>
        </w:rPr>
      </w:pPr>
      <w:r w:rsidRPr="00154C14">
        <w:rPr>
          <w:b/>
          <w:sz w:val="32"/>
          <w:szCs w:val="28"/>
        </w:rPr>
        <w:t xml:space="preserve">Aprendizaje </w:t>
      </w:r>
      <w:r w:rsidR="00704DE2">
        <w:rPr>
          <w:b/>
          <w:sz w:val="32"/>
          <w:szCs w:val="28"/>
        </w:rPr>
        <w:t>3</w:t>
      </w:r>
      <w:r w:rsidRPr="00154C14">
        <w:rPr>
          <w:b/>
          <w:sz w:val="32"/>
          <w:szCs w:val="28"/>
        </w:rPr>
        <w:t xml:space="preserve">: </w:t>
      </w:r>
      <w:r w:rsidR="00704DE2" w:rsidRPr="00704DE2">
        <w:rPr>
          <w:b/>
          <w:sz w:val="32"/>
          <w:szCs w:val="28"/>
        </w:rPr>
        <w:t>uso de la herramienta MobiReady</w:t>
      </w:r>
    </w:p>
    <w:p w:rsidR="00075BD9" w:rsidRPr="00154C14" w:rsidRDefault="00075BD9" w:rsidP="00075BD9">
      <w:pPr>
        <w:pStyle w:val="Textoindependiente"/>
        <w:spacing w:before="14"/>
        <w:ind w:left="-567" w:right="-426"/>
        <w:rPr>
          <w:b/>
          <w:szCs w:val="28"/>
        </w:rPr>
      </w:pPr>
    </w:p>
    <w:p w:rsidR="00704DE2" w:rsidRDefault="00704DE2" w:rsidP="00704DE2">
      <w:pPr>
        <w:ind w:left="-567"/>
      </w:pPr>
      <w:r>
        <w:tab/>
      </w:r>
      <w:r>
        <w:t>Ahora sí, tu jefe está contento con los resultados obtenidos durante el último estudio de la accesibilidad de la página, gracias al cual ha propuesto algunos cambios a los desarrolladores.</w:t>
      </w:r>
    </w:p>
    <w:p w:rsidR="00704DE2" w:rsidRDefault="00704DE2" w:rsidP="00704DE2">
      <w:pPr>
        <w:ind w:left="-567"/>
      </w:pPr>
    </w:p>
    <w:p w:rsidR="00704DE2" w:rsidRDefault="00704DE2" w:rsidP="00704DE2">
      <w:pPr>
        <w:ind w:left="-567"/>
      </w:pPr>
      <w:r>
        <w:tab/>
      </w:r>
      <w:r>
        <w:t>Sin embargo, éstos se han quejado de que tienen poca información acerca de los cambios a hacer para que la web sea igual de accesible desde dispositivos móviles.</w:t>
      </w:r>
    </w:p>
    <w:p w:rsidR="00704DE2" w:rsidRDefault="00704DE2" w:rsidP="00704DE2">
      <w:pPr>
        <w:ind w:left="-567"/>
      </w:pPr>
    </w:p>
    <w:p w:rsidR="00704DE2" w:rsidRDefault="00704DE2" w:rsidP="00704DE2">
      <w:pPr>
        <w:ind w:left="-567"/>
      </w:pPr>
      <w:r>
        <w:tab/>
      </w:r>
      <w:r>
        <w:t>Así que tu jefe te propone utilizar la herramienta MobiReady para que realices el estudio de la accesibilidad en dispositivos móviles.</w:t>
      </w:r>
    </w:p>
    <w:p w:rsidR="00704DE2" w:rsidRDefault="00704DE2" w:rsidP="00704DE2">
      <w:pPr>
        <w:ind w:left="-567"/>
      </w:pPr>
    </w:p>
    <w:p w:rsidR="00A92385" w:rsidRDefault="00704DE2" w:rsidP="00704DE2">
      <w:pPr>
        <w:ind w:left="-567"/>
      </w:pPr>
      <w:r>
        <w:tab/>
      </w:r>
      <w:r>
        <w:t>Durante la actividad utilizaremos la siguiente página web (</w:t>
      </w:r>
      <w:hyperlink r:id="rId9" w:history="1">
        <w:r w:rsidRPr="009A4097">
          <w:rPr>
            <w:rStyle w:val="Hipervnculo"/>
          </w:rPr>
          <w:t>https://www.washington.edu/accesscomputing/AU/before.html</w:t>
        </w:r>
      </w:hyperlink>
      <w:r>
        <w:t>)</w:t>
      </w:r>
      <w:r>
        <w:t xml:space="preserve"> </w:t>
      </w:r>
    </w:p>
    <w:p w:rsidR="00297CD7" w:rsidRDefault="00297CD7" w:rsidP="00A92385">
      <w:pPr>
        <w:ind w:left="-567"/>
      </w:pPr>
    </w:p>
    <w:p w:rsidR="009214BD" w:rsidRDefault="009214BD" w:rsidP="00A92385">
      <w:pPr>
        <w:ind w:left="-567"/>
      </w:pPr>
    </w:p>
    <w:p w:rsidR="009214BD" w:rsidRPr="009214BD" w:rsidRDefault="009214BD" w:rsidP="009214BD">
      <w:pPr>
        <w:ind w:left="-567" w:right="-709"/>
        <w:rPr>
          <w:b/>
          <w:sz w:val="32"/>
          <w:u w:val="single"/>
        </w:rPr>
      </w:pPr>
      <w:r w:rsidRPr="009214BD">
        <w:rPr>
          <w:b/>
          <w:sz w:val="32"/>
          <w:u w:val="single"/>
        </w:rPr>
        <w:t>Informe de Análisis de Accesibilidad en Dispositivos Móviles</w:t>
      </w:r>
    </w:p>
    <w:p w:rsidR="009214BD" w:rsidRDefault="009214BD" w:rsidP="009214BD">
      <w:pPr>
        <w:ind w:left="-567"/>
      </w:pP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4"/>
        </w:numPr>
        <w:rPr>
          <w:b/>
          <w:sz w:val="28"/>
        </w:rPr>
      </w:pPr>
      <w:r w:rsidRPr="009214BD">
        <w:rPr>
          <w:b/>
          <w:sz w:val="28"/>
        </w:rPr>
        <w:t>Introducción</w:t>
      </w:r>
    </w:p>
    <w:p w:rsidR="009214BD" w:rsidRPr="009214BD" w:rsidRDefault="009214BD" w:rsidP="009214BD">
      <w:pPr>
        <w:pStyle w:val="Prrafodelista"/>
        <w:ind w:left="-207" w:firstLine="0"/>
      </w:pPr>
    </w:p>
    <w:p w:rsidR="009214BD" w:rsidRPr="009214BD" w:rsidRDefault="009214BD" w:rsidP="009214BD">
      <w:pPr>
        <w:ind w:left="-567" w:right="-426"/>
      </w:pPr>
      <w:r>
        <w:tab/>
      </w:r>
      <w:r w:rsidRPr="009214BD">
        <w:t xml:space="preserve">Este informe presenta los resultados obtenidos tras analizar la accesibilidad de la página web en dispositivos móviles utilizando la herramienta </w:t>
      </w:r>
      <w:r w:rsidRPr="009214BD">
        <w:rPr>
          <w:b/>
          <w:i/>
        </w:rPr>
        <w:t>MobiReady</w:t>
      </w:r>
      <w:r w:rsidRPr="009214BD">
        <w:t>. El objetivo es identificar las áreas de mejora para optimizar la experiencia de los usuarios móviles, haciendo énfasis en la usabilidad y el rendimiento.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ind w:left="-567"/>
      </w:pPr>
      <w:r w:rsidRPr="009214BD">
        <w:t>2</w:t>
      </w:r>
      <w:r w:rsidRPr="009214BD">
        <w:rPr>
          <w:b/>
          <w:sz w:val="28"/>
        </w:rPr>
        <w:t>. Resultados del análisis y recomendaciones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ind w:left="-567"/>
        <w:rPr>
          <w:b/>
          <w:sz w:val="24"/>
        </w:rPr>
      </w:pPr>
      <w:r w:rsidRPr="009214BD">
        <w:rPr>
          <w:b/>
          <w:sz w:val="24"/>
        </w:rPr>
        <w:t>2.1. Problemas relacionados con la adaptabilidad del diseño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5"/>
        </w:numPr>
      </w:pPr>
      <w:r w:rsidRPr="009214BD">
        <w:rPr>
          <w:u w:val="single"/>
        </w:rPr>
        <w:t>Problema</w:t>
      </w:r>
      <w:r w:rsidRPr="009214BD">
        <w:t>: La página no utiliza un diseño responsivo basado en CSS, lo que provoca problemas de visualización en pantallas pequeñas.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6"/>
        </w:numPr>
      </w:pPr>
      <w:r w:rsidRPr="009214BD">
        <w:t xml:space="preserve">Recomendación: Implementar un framework responsivo como </w:t>
      </w:r>
      <w:r w:rsidRPr="009214BD">
        <w:rPr>
          <w:b/>
          <w:i/>
        </w:rPr>
        <w:t>Bootstrap</w:t>
      </w:r>
      <w:r w:rsidRPr="009214BD">
        <w:t xml:space="preserve"> o utilizar consultas de medios (media queries) para ajustar el diseño según el tamaño de la pantalla.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ind w:left="-567"/>
        <w:rPr>
          <w:b/>
          <w:sz w:val="24"/>
        </w:rPr>
      </w:pPr>
      <w:r w:rsidRPr="009214BD">
        <w:rPr>
          <w:b/>
          <w:sz w:val="24"/>
        </w:rPr>
        <w:t>2.2. Tamaño del contenido en pantalla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5"/>
        </w:numPr>
      </w:pPr>
      <w:r w:rsidRPr="009214BD">
        <w:rPr>
          <w:u w:val="single"/>
        </w:rPr>
        <w:t>Problema</w:t>
      </w:r>
      <w:r w:rsidRPr="009214BD">
        <w:t>: El contenido no se ajusta al ancho de las pantallas móviles, obligando a los usuarios a desplazarse horizontalmente.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6"/>
        </w:numPr>
      </w:pPr>
      <w:r w:rsidRPr="009214BD">
        <w:t xml:space="preserve">Recomendación: Agregar la metaetiqueta viewport en el </w:t>
      </w:r>
      <w:r w:rsidRPr="009214BD">
        <w:rPr>
          <w:b/>
          <w:i/>
        </w:rPr>
        <w:t>&lt;head&gt;</w:t>
      </w:r>
      <w:r w:rsidRPr="009214BD">
        <w:t xml:space="preserve"> del documento HTML: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ind w:left="-567"/>
        <w:jc w:val="center"/>
        <w:rPr>
          <w:b/>
          <w:u w:val="single"/>
          <w:lang w:val="en-US"/>
        </w:rPr>
      </w:pPr>
      <w:r w:rsidRPr="009214BD">
        <w:rPr>
          <w:b/>
          <w:u w:val="single"/>
          <w:lang w:val="en-US"/>
        </w:rPr>
        <w:t>&lt;meta name="viewport" content="width=device-width, initial-scale=1"&gt;</w:t>
      </w:r>
    </w:p>
    <w:p w:rsidR="009214BD" w:rsidRPr="009214BD" w:rsidRDefault="009214BD" w:rsidP="009214BD">
      <w:pPr>
        <w:ind w:left="-567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</w:p>
    <w:p w:rsidR="009214BD" w:rsidRPr="009214BD" w:rsidRDefault="009214BD" w:rsidP="009214BD">
      <w:pPr>
        <w:ind w:left="-567"/>
        <w:rPr>
          <w:b/>
          <w:sz w:val="24"/>
        </w:rPr>
      </w:pPr>
      <w:r w:rsidRPr="009214BD">
        <w:rPr>
          <w:b/>
          <w:sz w:val="24"/>
        </w:rPr>
        <w:t>2.3. Elementos interactivos demasiado pequeños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5"/>
        </w:numPr>
      </w:pPr>
      <w:r w:rsidRPr="009214BD">
        <w:rPr>
          <w:u w:val="single"/>
        </w:rPr>
        <w:t>Problema</w:t>
      </w:r>
      <w:r w:rsidRPr="009214BD">
        <w:t>: Botones y enlaces tienen un tamaño inferior al mínimo recomendado (</w:t>
      </w:r>
      <w:r w:rsidRPr="009214BD">
        <w:rPr>
          <w:b/>
          <w:i/>
          <w:u w:val="single"/>
        </w:rPr>
        <w:t>48x48 px</w:t>
      </w:r>
      <w:r w:rsidRPr="009214BD">
        <w:t>).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6"/>
        </w:numPr>
      </w:pPr>
      <w:r w:rsidRPr="009214BD">
        <w:t>Recomendación: Aumentar el tamaño de los elementos interactivos y el espaciado entre ellos para facilitar la selección con los dedos.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ind w:left="-567"/>
        <w:rPr>
          <w:b/>
          <w:sz w:val="24"/>
        </w:rPr>
      </w:pPr>
      <w:r w:rsidRPr="009214BD">
        <w:rPr>
          <w:b/>
          <w:sz w:val="24"/>
        </w:rPr>
        <w:t>2.4. Tiempo de carga en dispositivos móviles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5"/>
        </w:numPr>
      </w:pPr>
      <w:r w:rsidRPr="009214BD">
        <w:rPr>
          <w:u w:val="single"/>
        </w:rPr>
        <w:t>Problema</w:t>
      </w:r>
      <w:r w:rsidRPr="009214BD">
        <w:t>: La página tarda más de 3 segundos en cargar completamente en conexiones móviles.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6"/>
        </w:numPr>
      </w:pPr>
      <w:r w:rsidRPr="009214BD">
        <w:t>Recomendación: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7"/>
        </w:numPr>
        <w:ind w:left="567"/>
      </w:pPr>
      <w:r w:rsidRPr="009214BD">
        <w:t>Optimizar las imágenes utilizando formatos modernos como WebP y compresión.</w:t>
      </w:r>
    </w:p>
    <w:p w:rsidR="009214BD" w:rsidRPr="009214BD" w:rsidRDefault="009214BD" w:rsidP="009214BD">
      <w:pPr>
        <w:ind w:left="567"/>
      </w:pPr>
    </w:p>
    <w:p w:rsidR="009214BD" w:rsidRPr="009214BD" w:rsidRDefault="009214BD" w:rsidP="009214BD">
      <w:pPr>
        <w:pStyle w:val="Prrafodelista"/>
        <w:numPr>
          <w:ilvl w:val="0"/>
          <w:numId w:val="17"/>
        </w:numPr>
        <w:ind w:left="567"/>
      </w:pPr>
      <w:r w:rsidRPr="009214BD">
        <w:t>Minimizar los archivos CSS y JavaScript.</w:t>
      </w:r>
    </w:p>
    <w:p w:rsidR="009214BD" w:rsidRPr="009214BD" w:rsidRDefault="009214BD" w:rsidP="009214BD">
      <w:pPr>
        <w:ind w:left="567"/>
      </w:pPr>
    </w:p>
    <w:p w:rsidR="009214BD" w:rsidRPr="009214BD" w:rsidRDefault="009214BD" w:rsidP="009214BD">
      <w:pPr>
        <w:pStyle w:val="Prrafodelista"/>
        <w:numPr>
          <w:ilvl w:val="0"/>
          <w:numId w:val="17"/>
        </w:numPr>
        <w:ind w:left="567"/>
      </w:pPr>
      <w:r w:rsidRPr="009214BD">
        <w:t xml:space="preserve">Activar la compresión </w:t>
      </w:r>
      <w:r w:rsidRPr="009214BD">
        <w:rPr>
          <w:b/>
          <w:i/>
        </w:rPr>
        <w:t>Gzip</w:t>
      </w:r>
      <w:r w:rsidRPr="009214BD">
        <w:t xml:space="preserve"> o </w:t>
      </w:r>
      <w:r w:rsidRPr="009214BD">
        <w:rPr>
          <w:b/>
          <w:i/>
        </w:rPr>
        <w:t>Brotli</w:t>
      </w:r>
      <w:r w:rsidRPr="009214BD">
        <w:t xml:space="preserve"> en el servidor.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ind w:left="-567"/>
        <w:rPr>
          <w:b/>
          <w:sz w:val="24"/>
        </w:rPr>
      </w:pPr>
      <w:r w:rsidRPr="009214BD">
        <w:rPr>
          <w:b/>
          <w:sz w:val="24"/>
        </w:rPr>
        <w:t>2.5. Contraste de colores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5"/>
        </w:numPr>
      </w:pPr>
      <w:r w:rsidRPr="009214BD">
        <w:rPr>
          <w:u w:val="single"/>
        </w:rPr>
        <w:t>Problema</w:t>
      </w:r>
      <w:r w:rsidRPr="009214BD">
        <w:t>: Algunos textos tienen bajo contraste en relación al fondo, dificultando su lectura en condiciones de luz brillante.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6"/>
        </w:numPr>
      </w:pPr>
      <w:r w:rsidRPr="009214BD">
        <w:t>Recomendación: Asegurarse de que los colores cumplan con un ratio de contraste de al menos 4.5:1.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ind w:left="-567"/>
        <w:rPr>
          <w:b/>
          <w:sz w:val="24"/>
        </w:rPr>
      </w:pPr>
      <w:r w:rsidRPr="009214BD">
        <w:rPr>
          <w:b/>
          <w:sz w:val="24"/>
        </w:rPr>
        <w:t>2.6. Uso de recursos bloqueantes de renderizado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5"/>
        </w:numPr>
      </w:pPr>
      <w:r w:rsidRPr="009214BD">
        <w:rPr>
          <w:u w:val="single"/>
        </w:rPr>
        <w:t>Problema</w:t>
      </w:r>
      <w:r w:rsidRPr="009214BD">
        <w:t>: El código CSS y JavaScript bloquea el renderizado de la página.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pStyle w:val="Prrafodelista"/>
        <w:numPr>
          <w:ilvl w:val="0"/>
          <w:numId w:val="16"/>
        </w:numPr>
      </w:pPr>
      <w:r w:rsidRPr="009214BD">
        <w:t>Recomendación: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E01EDC">
      <w:pPr>
        <w:pStyle w:val="Prrafodelista"/>
        <w:numPr>
          <w:ilvl w:val="0"/>
          <w:numId w:val="18"/>
        </w:numPr>
        <w:ind w:left="567"/>
      </w:pPr>
      <w:r w:rsidRPr="009214BD">
        <w:t>Cargar recursos de forma diferida o asíncrona.</w:t>
      </w:r>
    </w:p>
    <w:p w:rsidR="009214BD" w:rsidRPr="009214BD" w:rsidRDefault="009214BD" w:rsidP="00E01EDC">
      <w:pPr>
        <w:ind w:left="567"/>
      </w:pPr>
    </w:p>
    <w:p w:rsidR="009214BD" w:rsidRPr="009214BD" w:rsidRDefault="009214BD" w:rsidP="00E01EDC">
      <w:pPr>
        <w:pStyle w:val="Prrafodelista"/>
        <w:numPr>
          <w:ilvl w:val="0"/>
          <w:numId w:val="18"/>
        </w:numPr>
        <w:ind w:left="567"/>
      </w:pPr>
      <w:r w:rsidRPr="009214BD">
        <w:t>Incluir CSS crítico en línea para los elementos esenciales.</w:t>
      </w:r>
    </w:p>
    <w:p w:rsidR="009214BD" w:rsidRPr="009214BD" w:rsidRDefault="009214BD" w:rsidP="009214BD">
      <w:pPr>
        <w:ind w:left="-567"/>
      </w:pPr>
    </w:p>
    <w:p w:rsidR="009214BD" w:rsidRPr="009214BD" w:rsidRDefault="009214BD" w:rsidP="009214BD">
      <w:pPr>
        <w:ind w:left="-567"/>
      </w:pPr>
      <w:r w:rsidRPr="009214BD">
        <w:rPr>
          <w:b/>
          <w:sz w:val="28"/>
        </w:rPr>
        <w:t>3</w:t>
      </w:r>
      <w:r w:rsidRPr="009214BD">
        <w:rPr>
          <w:b/>
          <w:sz w:val="36"/>
        </w:rPr>
        <w:t xml:space="preserve">. </w:t>
      </w:r>
      <w:r w:rsidRPr="009214BD">
        <w:rPr>
          <w:b/>
          <w:sz w:val="28"/>
        </w:rPr>
        <w:t>Conclusión</w:t>
      </w:r>
    </w:p>
    <w:p w:rsidR="009214BD" w:rsidRPr="009214BD" w:rsidRDefault="009214BD" w:rsidP="009214BD">
      <w:pPr>
        <w:ind w:left="-567"/>
      </w:pPr>
    </w:p>
    <w:p w:rsidR="00E22928" w:rsidRPr="009214BD" w:rsidRDefault="009214BD" w:rsidP="009214BD">
      <w:pPr>
        <w:ind w:left="-567"/>
      </w:pPr>
      <w:r>
        <w:tab/>
      </w:r>
      <w:r w:rsidRPr="009214BD">
        <w:t>La herramienta MobiReady ha permitido identificar varios problemas que afectan la experiencia de los usuarios en dispositivos móviles. Implementar las recomendaciones anteriores no solo mejorará la accesibilidad, sino también el rendimiento y la satisfacción general de los usuarios.</w:t>
      </w:r>
    </w:p>
    <w:sectPr w:rsidR="00E22928" w:rsidRPr="009214BD" w:rsidSect="00E22928">
      <w:headerReference w:type="default" r:id="rId10"/>
      <w:footerReference w:type="default" r:id="rId11"/>
      <w:pgSz w:w="11907" w:h="16839" w:code="9"/>
      <w:pgMar w:top="851" w:right="1701" w:bottom="1417" w:left="1701" w:header="426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6BE" w:rsidRDefault="008E46BE" w:rsidP="00E537D7">
      <w:r>
        <w:separator/>
      </w:r>
    </w:p>
  </w:endnote>
  <w:endnote w:type="continuationSeparator" w:id="1">
    <w:p w:rsidR="008E46BE" w:rsidRDefault="008E46BE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EndPr>
      <w:rPr>
        <w:color w:val="595959" w:themeColor="text1" w:themeTint="A6"/>
      </w:rPr>
    </w:sdtEndPr>
    <w:sdtContent>
      <w:p w:rsidR="00070EE6" w:rsidRPr="009C74A3" w:rsidRDefault="00737217">
        <w:pPr>
          <w:pStyle w:val="Piedepgina"/>
          <w:jc w:val="right"/>
          <w:rPr>
            <w:color w:val="595959" w:themeColor="text1" w:themeTint="A6"/>
          </w:rPr>
        </w:pPr>
        <w:r w:rsidRPr="009C74A3">
          <w:rPr>
            <w:color w:val="595959" w:themeColor="text1" w:themeTint="A6"/>
          </w:rPr>
          <w:fldChar w:fldCharType="begin"/>
        </w:r>
        <w:r w:rsidR="004A0B62" w:rsidRPr="009C74A3">
          <w:rPr>
            <w:color w:val="595959" w:themeColor="text1" w:themeTint="A6"/>
          </w:rPr>
          <w:instrText xml:space="preserve"> PAGE   \* MERGEFORMAT </w:instrText>
        </w:r>
        <w:r w:rsidRPr="009C74A3">
          <w:rPr>
            <w:color w:val="595959" w:themeColor="text1" w:themeTint="A6"/>
          </w:rPr>
          <w:fldChar w:fldCharType="separate"/>
        </w:r>
        <w:r w:rsidR="00E01EDC">
          <w:rPr>
            <w:noProof/>
            <w:color w:val="595959" w:themeColor="text1" w:themeTint="A6"/>
          </w:rPr>
          <w:t>1</w:t>
        </w:r>
        <w:r w:rsidRPr="009C74A3">
          <w:rPr>
            <w:color w:val="595959" w:themeColor="text1" w:themeTint="A6"/>
          </w:rPr>
          <w:fldChar w:fldCharType="end"/>
        </w:r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6BE" w:rsidRDefault="008E46BE" w:rsidP="00E537D7">
      <w:r>
        <w:separator/>
      </w:r>
    </w:p>
  </w:footnote>
  <w:footnote w:type="continuationSeparator" w:id="1">
    <w:p w:rsidR="008E46BE" w:rsidRDefault="008E46BE" w:rsidP="00E53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A96" w:rsidRPr="009C74A3" w:rsidRDefault="00E14A96" w:rsidP="004355DD">
    <w:pPr>
      <w:pStyle w:val="Encabezado"/>
      <w:ind w:left="-851" w:right="-576"/>
      <w:rPr>
        <w:b/>
        <w:i/>
        <w:color w:val="595959" w:themeColor="text1" w:themeTint="A6"/>
        <w:spacing w:val="-10"/>
        <w:sz w:val="20"/>
        <w:szCs w:val="20"/>
      </w:rPr>
    </w:pPr>
    <w:r w:rsidRPr="009C74A3">
      <w:rPr>
        <w:b/>
        <w:i/>
        <w:color w:val="A6A6A6" w:themeColor="background1" w:themeShade="A6"/>
        <w:spacing w:val="-10"/>
        <w:sz w:val="20"/>
        <w:szCs w:val="20"/>
      </w:rPr>
      <w:t xml:space="preserve"> </w:t>
    </w:r>
    <w:r w:rsidRPr="009C74A3">
      <w:rPr>
        <w:b/>
        <w:i/>
        <w:color w:val="595959" w:themeColor="text1" w:themeTint="A6"/>
        <w:spacing w:val="-10"/>
        <w:sz w:val="20"/>
        <w:szCs w:val="20"/>
      </w:rPr>
      <w:t>Rubén Crispín Igual 2º DAW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1665"/>
      </v:shape>
    </w:pict>
  </w:numPicBullet>
  <w:abstractNum w:abstractNumId="0">
    <w:nsid w:val="053616E2"/>
    <w:multiLevelType w:val="hybridMultilevel"/>
    <w:tmpl w:val="37CABC94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08A3391"/>
    <w:multiLevelType w:val="hybridMultilevel"/>
    <w:tmpl w:val="DDB615C2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15218A9"/>
    <w:multiLevelType w:val="hybridMultilevel"/>
    <w:tmpl w:val="A6B8772A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19B0B8E"/>
    <w:multiLevelType w:val="hybridMultilevel"/>
    <w:tmpl w:val="E09672EA"/>
    <w:lvl w:ilvl="0" w:tplc="97EA638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77105DE"/>
    <w:multiLevelType w:val="hybridMultilevel"/>
    <w:tmpl w:val="731C6DD8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1CF10808"/>
    <w:multiLevelType w:val="hybridMultilevel"/>
    <w:tmpl w:val="A4F0FEDA"/>
    <w:lvl w:ilvl="0" w:tplc="0C0A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1CFF27DB"/>
    <w:multiLevelType w:val="hybridMultilevel"/>
    <w:tmpl w:val="58BC8EE8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20092539"/>
    <w:multiLevelType w:val="hybridMultilevel"/>
    <w:tmpl w:val="7C543EE4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3D9E05C2"/>
    <w:multiLevelType w:val="hybridMultilevel"/>
    <w:tmpl w:val="419ED67A"/>
    <w:lvl w:ilvl="0" w:tplc="0C0A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3E161C0C"/>
    <w:multiLevelType w:val="hybridMultilevel"/>
    <w:tmpl w:val="6EE4B420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4BAD0332"/>
    <w:multiLevelType w:val="hybridMultilevel"/>
    <w:tmpl w:val="EB12D430"/>
    <w:lvl w:ilvl="0" w:tplc="31D638F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4C1168D7"/>
    <w:multiLevelType w:val="hybridMultilevel"/>
    <w:tmpl w:val="26642DBE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543E2008"/>
    <w:multiLevelType w:val="hybridMultilevel"/>
    <w:tmpl w:val="0EEA8C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0D5ABA"/>
    <w:multiLevelType w:val="hybridMultilevel"/>
    <w:tmpl w:val="A1362766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5E593F60"/>
    <w:multiLevelType w:val="hybridMultilevel"/>
    <w:tmpl w:val="1BBA12C8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60863E16"/>
    <w:multiLevelType w:val="hybridMultilevel"/>
    <w:tmpl w:val="B824E592"/>
    <w:lvl w:ilvl="0" w:tplc="15D290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752E3B69"/>
    <w:multiLevelType w:val="hybridMultilevel"/>
    <w:tmpl w:val="EBF6BEC8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>
    <w:nsid w:val="78906BE2"/>
    <w:multiLevelType w:val="hybridMultilevel"/>
    <w:tmpl w:val="0A9A08F6"/>
    <w:lvl w:ilvl="0" w:tplc="0C0A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3"/>
  </w:num>
  <w:num w:numId="5">
    <w:abstractNumId w:val="7"/>
  </w:num>
  <w:num w:numId="6">
    <w:abstractNumId w:val="10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  <w:num w:numId="12">
    <w:abstractNumId w:val="17"/>
  </w:num>
  <w:num w:numId="13">
    <w:abstractNumId w:val="6"/>
  </w:num>
  <w:num w:numId="14">
    <w:abstractNumId w:val="15"/>
  </w:num>
  <w:num w:numId="15">
    <w:abstractNumId w:val="5"/>
  </w:num>
  <w:num w:numId="16">
    <w:abstractNumId w:val="14"/>
  </w:num>
  <w:num w:numId="17">
    <w:abstractNumId w:val="4"/>
  </w:num>
  <w:num w:numId="18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34FA5"/>
    <w:rsid w:val="00045516"/>
    <w:rsid w:val="00070EE6"/>
    <w:rsid w:val="00075285"/>
    <w:rsid w:val="00075BD9"/>
    <w:rsid w:val="000D2A92"/>
    <w:rsid w:val="000E0614"/>
    <w:rsid w:val="00101020"/>
    <w:rsid w:val="0014117D"/>
    <w:rsid w:val="00154C14"/>
    <w:rsid w:val="00205D7B"/>
    <w:rsid w:val="002106E2"/>
    <w:rsid w:val="002229E8"/>
    <w:rsid w:val="00237348"/>
    <w:rsid w:val="00297CD7"/>
    <w:rsid w:val="003773F2"/>
    <w:rsid w:val="003B4A93"/>
    <w:rsid w:val="004355DD"/>
    <w:rsid w:val="0044087D"/>
    <w:rsid w:val="004579A9"/>
    <w:rsid w:val="004A0B62"/>
    <w:rsid w:val="004A7BA5"/>
    <w:rsid w:val="004E0DA1"/>
    <w:rsid w:val="004F2245"/>
    <w:rsid w:val="00501994"/>
    <w:rsid w:val="00527346"/>
    <w:rsid w:val="00571A78"/>
    <w:rsid w:val="00575971"/>
    <w:rsid w:val="005759EE"/>
    <w:rsid w:val="005933CB"/>
    <w:rsid w:val="005B4799"/>
    <w:rsid w:val="005C143A"/>
    <w:rsid w:val="006633C3"/>
    <w:rsid w:val="006E51FA"/>
    <w:rsid w:val="006F73C7"/>
    <w:rsid w:val="00701E78"/>
    <w:rsid w:val="00704DE2"/>
    <w:rsid w:val="00737217"/>
    <w:rsid w:val="00754B0C"/>
    <w:rsid w:val="00790988"/>
    <w:rsid w:val="007A5130"/>
    <w:rsid w:val="007A56FB"/>
    <w:rsid w:val="00820041"/>
    <w:rsid w:val="00823B6A"/>
    <w:rsid w:val="00835CA7"/>
    <w:rsid w:val="008A3724"/>
    <w:rsid w:val="008E46BE"/>
    <w:rsid w:val="008F3E71"/>
    <w:rsid w:val="009211D3"/>
    <w:rsid w:val="009214BD"/>
    <w:rsid w:val="00930F30"/>
    <w:rsid w:val="00982A82"/>
    <w:rsid w:val="0099147B"/>
    <w:rsid w:val="00995D2B"/>
    <w:rsid w:val="009C74A3"/>
    <w:rsid w:val="00A31DA2"/>
    <w:rsid w:val="00A504E6"/>
    <w:rsid w:val="00A92385"/>
    <w:rsid w:val="00AA2CF4"/>
    <w:rsid w:val="00B01A66"/>
    <w:rsid w:val="00B07E54"/>
    <w:rsid w:val="00B1234A"/>
    <w:rsid w:val="00B21D0A"/>
    <w:rsid w:val="00B71B40"/>
    <w:rsid w:val="00B94CDE"/>
    <w:rsid w:val="00BC4765"/>
    <w:rsid w:val="00BE7277"/>
    <w:rsid w:val="00C24DAB"/>
    <w:rsid w:val="00C2714C"/>
    <w:rsid w:val="00CC24E5"/>
    <w:rsid w:val="00D04098"/>
    <w:rsid w:val="00D31ACD"/>
    <w:rsid w:val="00D96331"/>
    <w:rsid w:val="00DE7E56"/>
    <w:rsid w:val="00DF749E"/>
    <w:rsid w:val="00E01EDC"/>
    <w:rsid w:val="00E03BFB"/>
    <w:rsid w:val="00E14A96"/>
    <w:rsid w:val="00E22928"/>
    <w:rsid w:val="00E3525F"/>
    <w:rsid w:val="00E474CC"/>
    <w:rsid w:val="00E537D7"/>
    <w:rsid w:val="00EC0EBA"/>
    <w:rsid w:val="00F0747A"/>
    <w:rsid w:val="00F62B97"/>
    <w:rsid w:val="00F725B7"/>
    <w:rsid w:val="00FB36E8"/>
    <w:rsid w:val="00FC2FBF"/>
    <w:rsid w:val="00FF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  <w:style w:type="paragraph" w:styleId="Sinespaciado">
    <w:name w:val="No Spacing"/>
    <w:link w:val="SinespaciadoCar"/>
    <w:uiPriority w:val="1"/>
    <w:qFormat/>
    <w:rsid w:val="00E14A96"/>
    <w:pPr>
      <w:widowControl/>
      <w:autoSpaceDE/>
      <w:autoSpaceDN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A96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unhideWhenUsed/>
    <w:rsid w:val="00A9238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3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ashington.edu/accesscomputing/AU/befor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Ruben Crispin</cp:lastModifiedBy>
  <cp:revision>37</cp:revision>
  <dcterms:created xsi:type="dcterms:W3CDTF">2023-09-28T07:51:00Z</dcterms:created>
  <dcterms:modified xsi:type="dcterms:W3CDTF">2025-01-28T09:49:00Z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