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121B09" w14:textId="5F1F8951" w:rsidR="00FE2F5A" w:rsidRPr="00371BA1" w:rsidRDefault="00FE2F5A" w:rsidP="00FE2F5A">
      <w:pPr>
        <w:jc w:val="center"/>
        <w:rPr>
          <w:rFonts w:ascii="Times New Roman" w:hAnsi="Times New Roman" w:cs="Times New Roman"/>
          <w:b/>
          <w:bCs/>
          <w:sz w:val="32"/>
          <w:szCs w:val="32"/>
        </w:rPr>
      </w:pPr>
      <w:r w:rsidRPr="00371BA1">
        <w:rPr>
          <w:rFonts w:ascii="Times New Roman" w:hAnsi="Times New Roman" w:cs="Times New Roman"/>
          <w:b/>
          <w:bCs/>
          <w:sz w:val="32"/>
          <w:szCs w:val="32"/>
        </w:rPr>
        <w:t>Supporting Information for</w:t>
      </w:r>
    </w:p>
    <w:p w14:paraId="7FDE82D3" w14:textId="7F8B79A4" w:rsidR="00FE2F5A" w:rsidRDefault="00FE2F5A" w:rsidP="00FE2F5A">
      <w:pPr>
        <w:pStyle w:val="1"/>
        <w:spacing w:before="0"/>
        <w:rPr>
          <w:rFonts w:ascii="Times New Roman" w:hAnsi="Times New Roman" w:cs="Times New Roman"/>
          <w:b/>
          <w:bCs/>
          <w:color w:val="000000" w:themeColor="text1"/>
        </w:rPr>
      </w:pPr>
      <w:bookmarkStart w:id="0" w:name="_Toc130928488"/>
      <w:r w:rsidRPr="00FE2F5A">
        <w:rPr>
          <w:rFonts w:ascii="Times New Roman" w:hAnsi="Times New Roman" w:cs="Times New Roman"/>
          <w:b/>
          <w:bCs/>
          <w:color w:val="000000" w:themeColor="text1"/>
        </w:rPr>
        <w:t xml:space="preserve">Tracking </w:t>
      </w:r>
      <w:r w:rsidR="00107149">
        <w:rPr>
          <w:rFonts w:ascii="Times New Roman" w:hAnsi="Times New Roman" w:cs="Times New Roman"/>
          <w:b/>
          <w:bCs/>
          <w:color w:val="000000" w:themeColor="text1"/>
        </w:rPr>
        <w:t xml:space="preserve">the </w:t>
      </w:r>
      <w:r w:rsidRPr="00FE2F5A">
        <w:rPr>
          <w:rFonts w:ascii="Times New Roman" w:hAnsi="Times New Roman" w:cs="Times New Roman"/>
          <w:b/>
          <w:bCs/>
          <w:color w:val="000000" w:themeColor="text1"/>
        </w:rPr>
        <w:t xml:space="preserve">Global Anthropogenic Gallium </w:t>
      </w:r>
      <w:r w:rsidR="00107149">
        <w:rPr>
          <w:rFonts w:ascii="Times New Roman" w:hAnsi="Times New Roman" w:cs="Times New Roman"/>
          <w:b/>
          <w:bCs/>
          <w:color w:val="000000" w:themeColor="text1"/>
        </w:rPr>
        <w:t xml:space="preserve">Cycle </w:t>
      </w:r>
      <w:r w:rsidRPr="00FE2F5A">
        <w:rPr>
          <w:rFonts w:ascii="Times New Roman" w:hAnsi="Times New Roman" w:cs="Times New Roman"/>
          <w:b/>
          <w:bCs/>
          <w:color w:val="000000" w:themeColor="text1"/>
        </w:rPr>
        <w:t>during 2000-2020: a Trade-Linked Multiregional Material Flow Analysis</w:t>
      </w:r>
      <w:bookmarkEnd w:id="0"/>
    </w:p>
    <w:p w14:paraId="4F06D925" w14:textId="54C53004" w:rsidR="002B0193" w:rsidRDefault="002B0193" w:rsidP="002B0193"/>
    <w:p w14:paraId="2BCFDF8C" w14:textId="60BFCC62" w:rsidR="002B0193" w:rsidRDefault="002B0193" w:rsidP="002B0193"/>
    <w:p w14:paraId="3910B33A" w14:textId="50B899ED" w:rsidR="002B0193" w:rsidRDefault="002B0193" w:rsidP="002B0193"/>
    <w:p w14:paraId="54F5FB7A" w14:textId="7BBD641D" w:rsidR="002B0193" w:rsidRDefault="002B0193" w:rsidP="002B0193"/>
    <w:p w14:paraId="2BB6A2D9" w14:textId="1892317B" w:rsidR="002B0193" w:rsidRDefault="002B0193" w:rsidP="002B0193"/>
    <w:p w14:paraId="3B80FC92" w14:textId="5E66526A" w:rsidR="002B0193" w:rsidRDefault="002B0193" w:rsidP="002B0193"/>
    <w:p w14:paraId="1674A37F" w14:textId="13B103B3" w:rsidR="002B0193" w:rsidRDefault="002B0193" w:rsidP="002B0193"/>
    <w:p w14:paraId="08E7A539" w14:textId="39BA4237" w:rsidR="002B0193" w:rsidRDefault="002B0193" w:rsidP="002B0193"/>
    <w:p w14:paraId="398B0EE6" w14:textId="26C75C02" w:rsidR="002B0193" w:rsidRDefault="002B0193" w:rsidP="002B0193"/>
    <w:p w14:paraId="49217305" w14:textId="23466CCC" w:rsidR="002B0193" w:rsidRDefault="002B0193" w:rsidP="002B0193"/>
    <w:p w14:paraId="5FC889C0" w14:textId="2B597B12" w:rsidR="002B0193" w:rsidRDefault="002B0193" w:rsidP="002B0193"/>
    <w:p w14:paraId="22D31FBB" w14:textId="187519A2" w:rsidR="002B0193" w:rsidRDefault="002B0193" w:rsidP="002B0193"/>
    <w:p w14:paraId="0CF84A92" w14:textId="77777777" w:rsidR="00371BA1" w:rsidRDefault="00371BA1" w:rsidP="002B0193"/>
    <w:p w14:paraId="4CEEAF9B" w14:textId="77777777" w:rsidR="00371BA1" w:rsidRDefault="00371BA1" w:rsidP="002B0193"/>
    <w:p w14:paraId="03A318C1" w14:textId="77777777" w:rsidR="00371BA1" w:rsidRDefault="00371BA1" w:rsidP="002B0193"/>
    <w:p w14:paraId="52519126" w14:textId="77777777" w:rsidR="00371BA1" w:rsidRDefault="00371BA1" w:rsidP="002B0193"/>
    <w:p w14:paraId="3A9623DF" w14:textId="77777777" w:rsidR="00371BA1" w:rsidRDefault="00371BA1" w:rsidP="002B0193"/>
    <w:p w14:paraId="4EF79E6B" w14:textId="77777777" w:rsidR="00371BA1" w:rsidRDefault="00371BA1" w:rsidP="002B0193"/>
    <w:p w14:paraId="6F350BF1" w14:textId="77777777" w:rsidR="00371BA1" w:rsidRDefault="00371BA1" w:rsidP="002B0193"/>
    <w:p w14:paraId="7592642B" w14:textId="77777777" w:rsidR="00371BA1" w:rsidRDefault="00371BA1" w:rsidP="002B0193"/>
    <w:p w14:paraId="5093C655" w14:textId="77777777" w:rsidR="00371BA1" w:rsidRDefault="00371BA1" w:rsidP="002B0193"/>
    <w:p w14:paraId="56BB7AB7" w14:textId="77777777" w:rsidR="00371BA1" w:rsidRDefault="00371BA1" w:rsidP="002B0193"/>
    <w:p w14:paraId="7A523FBE" w14:textId="77777777" w:rsidR="00371BA1" w:rsidRDefault="00371BA1" w:rsidP="002B0193"/>
    <w:p w14:paraId="5F652761" w14:textId="715F9133" w:rsidR="002B0193" w:rsidRPr="00371BA1" w:rsidRDefault="002B0193" w:rsidP="002B0193">
      <w:pPr>
        <w:rPr>
          <w:rFonts w:ascii="Times New Roman" w:hAnsi="Times New Roman" w:cs="Times New Roman"/>
        </w:rPr>
      </w:pPr>
      <w:r w:rsidRPr="00371BA1">
        <w:rPr>
          <w:rFonts w:ascii="Times New Roman" w:hAnsi="Times New Roman" w:cs="Times New Roman"/>
        </w:rPr>
        <w:t xml:space="preserve">Summary information: </w:t>
      </w:r>
    </w:p>
    <w:p w14:paraId="3D91F1E7" w14:textId="496FD6BF" w:rsidR="002B0193" w:rsidRPr="00371BA1" w:rsidRDefault="002B0193" w:rsidP="002B0193">
      <w:pPr>
        <w:rPr>
          <w:rFonts w:ascii="Times New Roman" w:hAnsi="Times New Roman" w:cs="Times New Roman"/>
        </w:rPr>
      </w:pPr>
      <w:r w:rsidRPr="00371BA1">
        <w:rPr>
          <w:rFonts w:ascii="Times New Roman" w:hAnsi="Times New Roman" w:cs="Times New Roman"/>
        </w:rPr>
        <w:t xml:space="preserve">Number of SI pages: </w:t>
      </w:r>
      <w:r w:rsidR="00040402">
        <w:rPr>
          <w:rFonts w:ascii="Times New Roman" w:hAnsi="Times New Roman" w:cs="Times New Roman"/>
        </w:rPr>
        <w:t>11</w:t>
      </w:r>
    </w:p>
    <w:p w14:paraId="0FB317B2" w14:textId="628E4B88" w:rsidR="002B0193" w:rsidRPr="00371BA1" w:rsidRDefault="002B0193" w:rsidP="002B0193">
      <w:pPr>
        <w:rPr>
          <w:rFonts w:ascii="Times New Roman" w:hAnsi="Times New Roman" w:cs="Times New Roman"/>
        </w:rPr>
      </w:pPr>
      <w:r w:rsidRPr="00371BA1">
        <w:rPr>
          <w:rFonts w:ascii="Times New Roman" w:hAnsi="Times New Roman" w:cs="Times New Roman"/>
        </w:rPr>
        <w:t xml:space="preserve">Number of SI Figures: </w:t>
      </w:r>
      <w:r w:rsidR="00040402">
        <w:rPr>
          <w:rFonts w:ascii="Times New Roman" w:hAnsi="Times New Roman" w:cs="Times New Roman"/>
        </w:rPr>
        <w:t>7</w:t>
      </w:r>
    </w:p>
    <w:p w14:paraId="64A0C6D4" w14:textId="07F47AB3" w:rsidR="002B0193" w:rsidRPr="00371BA1" w:rsidRDefault="002B0193" w:rsidP="002B0193">
      <w:pPr>
        <w:rPr>
          <w:rFonts w:ascii="Times New Roman" w:hAnsi="Times New Roman" w:cs="Times New Roman"/>
        </w:rPr>
      </w:pPr>
      <w:r w:rsidRPr="00371BA1">
        <w:rPr>
          <w:rFonts w:ascii="Times New Roman" w:hAnsi="Times New Roman" w:cs="Times New Roman"/>
        </w:rPr>
        <w:t xml:space="preserve">Number of SI Tables: </w:t>
      </w:r>
      <w:r w:rsidR="00040402">
        <w:rPr>
          <w:rFonts w:ascii="Times New Roman" w:hAnsi="Times New Roman" w:cs="Times New Roman"/>
        </w:rPr>
        <w:t>2</w:t>
      </w:r>
    </w:p>
    <w:p w14:paraId="3CD6067D" w14:textId="406463B8" w:rsidR="002B0193" w:rsidRDefault="002B0193">
      <w:pPr>
        <w:spacing w:after="160" w:line="259" w:lineRule="auto"/>
        <w:rPr>
          <w:rFonts w:ascii="Times New Roman" w:eastAsiaTheme="majorEastAsia" w:hAnsi="Times New Roman" w:cs="Times New Roman"/>
          <w:color w:val="000000" w:themeColor="text1"/>
          <w:sz w:val="26"/>
          <w:szCs w:val="26"/>
        </w:rPr>
      </w:pPr>
      <w:bookmarkStart w:id="1" w:name="_Toc130928489"/>
    </w:p>
    <w:p w14:paraId="211AE1B2" w14:textId="6A8535F9" w:rsidR="002B0193" w:rsidRPr="00371BA1" w:rsidRDefault="00FE2F5A" w:rsidP="002B0193">
      <w:pPr>
        <w:pStyle w:val="2"/>
        <w:numPr>
          <w:ilvl w:val="0"/>
          <w:numId w:val="1"/>
        </w:numPr>
        <w:spacing w:before="120" w:after="120"/>
        <w:rPr>
          <w:rFonts w:ascii="Times New Roman" w:hAnsi="Times New Roman" w:cs="Times New Roman"/>
          <w:color w:val="000000" w:themeColor="text1"/>
        </w:rPr>
      </w:pPr>
      <w:r>
        <w:rPr>
          <w:rFonts w:ascii="Times New Roman" w:hAnsi="Times New Roman" w:cs="Times New Roman"/>
          <w:color w:val="000000" w:themeColor="text1"/>
        </w:rPr>
        <w:t>System definition</w:t>
      </w:r>
      <w:bookmarkEnd w:id="1"/>
      <w:r>
        <w:rPr>
          <w:rFonts w:ascii="Times New Roman" w:hAnsi="Times New Roman" w:cs="Times New Roman"/>
          <w:color w:val="000000" w:themeColor="text1"/>
        </w:rPr>
        <w:t xml:space="preserve"> </w:t>
      </w:r>
    </w:p>
    <w:p w14:paraId="13436A7A" w14:textId="0F5B1007" w:rsidR="00FE2F5A" w:rsidRPr="00FC4D83" w:rsidRDefault="00A14FA3" w:rsidP="00597CDD">
      <w:pPr>
        <w:ind w:firstLineChars="200" w:firstLine="440"/>
        <w:rPr>
          <w:rFonts w:ascii="Times New Roman" w:hAnsi="Times New Roman" w:cs="Times New Roman"/>
        </w:rPr>
      </w:pPr>
      <w:r w:rsidRPr="00FC4D83">
        <w:rPr>
          <w:rFonts w:ascii="Times New Roman" w:hAnsi="Times New Roman" w:cs="Times New Roman"/>
          <w:b/>
          <w:bCs/>
        </w:rPr>
        <w:t>World resources</w:t>
      </w:r>
      <w:r w:rsidR="00FC4D83">
        <w:rPr>
          <w:rFonts w:ascii="Times New Roman" w:hAnsi="Times New Roman" w:cs="Times New Roman" w:hint="eastAsia"/>
        </w:rPr>
        <w:t>.</w:t>
      </w:r>
      <w:r w:rsidRPr="00FC4D83">
        <w:rPr>
          <w:rFonts w:ascii="Times New Roman" w:hAnsi="Times New Roman" w:cs="Times New Roman"/>
        </w:rPr>
        <w:t xml:space="preserve"> The global average gallium (Ga) content of bauxite resources is 50 parts per million, with regional averages ranging from 28 ppm (Western Guanxi, China) to 75 ppm (Caribbean)</w:t>
      </w:r>
      <w:r w:rsidR="00040402">
        <w:rPr>
          <w:rFonts w:ascii="Times New Roman" w:hAnsi="Times New Roman" w:cs="Times New Roman"/>
        </w:rPr>
        <w:t xml:space="preserve"> </w:t>
      </w:r>
      <w:r w:rsidR="00A51D8E" w:rsidRPr="00A51D8E">
        <w:rPr>
          <w:rFonts w:ascii="Times New Roman" w:hAnsi="Times New Roman" w:cs="Times New Roman"/>
        </w:rPr>
        <w:t>(USGS National Minerals Information Center</w:t>
      </w:r>
      <w:r w:rsidR="00040402">
        <w:rPr>
          <w:rFonts w:ascii="Times New Roman" w:hAnsi="Times New Roman" w:cs="Times New Roman"/>
        </w:rPr>
        <w:t>, 2018</w:t>
      </w:r>
      <w:r w:rsidR="00A51D8E" w:rsidRPr="00A51D8E">
        <w:rPr>
          <w:rFonts w:ascii="Times New Roman" w:hAnsi="Times New Roman" w:cs="Times New Roman"/>
        </w:rPr>
        <w:t>)</w:t>
      </w:r>
      <w:r w:rsidR="00040402">
        <w:rPr>
          <w:rFonts w:ascii="Times New Roman" w:hAnsi="Times New Roman" w:cs="Times New Roman"/>
        </w:rPr>
        <w:t>.</w:t>
      </w:r>
      <w:r w:rsidRPr="00FC4D83">
        <w:rPr>
          <w:rFonts w:ascii="Times New Roman" w:hAnsi="Times New Roman" w:cs="Times New Roman"/>
        </w:rPr>
        <w:t xml:space="preserve"> It's estimated that there's over a million tons of Gallium present in the world's bauxite resources, and a significant amount being present in the world's zinc resources. Nonetheless, only a fraction, less than 10% of the Ga found in these resources can be feasibly extracted</w:t>
      </w:r>
      <w:r w:rsidR="00040402">
        <w:rPr>
          <w:rFonts w:ascii="Times New Roman" w:hAnsi="Times New Roman" w:cs="Times New Roman"/>
        </w:rPr>
        <w:t xml:space="preserve"> </w:t>
      </w:r>
      <w:r w:rsidR="00A51D8E" w:rsidRPr="00A51D8E">
        <w:rPr>
          <w:rFonts w:ascii="Times New Roman" w:hAnsi="Times New Roman" w:cs="Times New Roman"/>
        </w:rPr>
        <w:t>(USGS National Minerals Information Center, 2023)</w:t>
      </w:r>
      <w:r w:rsidR="00040402">
        <w:rPr>
          <w:rFonts w:ascii="Times New Roman" w:hAnsi="Times New Roman" w:cs="Times New Roman"/>
        </w:rPr>
        <w:t>.</w:t>
      </w:r>
      <w:r w:rsidRPr="00FC4D83">
        <w:rPr>
          <w:rFonts w:ascii="Times New Roman" w:hAnsi="Times New Roman" w:cs="Times New Roman"/>
        </w:rPr>
        <w:t xml:space="preserve"> </w:t>
      </w:r>
      <w:r w:rsidR="00FC4D83" w:rsidRPr="00FC4D83">
        <w:rPr>
          <w:rFonts w:ascii="Times New Roman" w:hAnsi="Times New Roman" w:cs="Times New Roman"/>
        </w:rPr>
        <w:t xml:space="preserve">The global </w:t>
      </w:r>
      <w:r w:rsidR="00FC4D83">
        <w:rPr>
          <w:rFonts w:ascii="Times New Roman" w:hAnsi="Times New Roman" w:cs="Times New Roman"/>
        </w:rPr>
        <w:t>Ga</w:t>
      </w:r>
      <w:r w:rsidR="00FC4D83" w:rsidRPr="00FC4D83">
        <w:rPr>
          <w:rFonts w:ascii="Times New Roman" w:hAnsi="Times New Roman" w:cs="Times New Roman"/>
        </w:rPr>
        <w:t xml:space="preserve"> reserves of gallium are about 230,000 t, of which 190,000 t </w:t>
      </w:r>
      <w:r w:rsidR="00E56845">
        <w:rPr>
          <w:rFonts w:ascii="Times New Roman" w:hAnsi="Times New Roman" w:cs="Times New Roman"/>
        </w:rPr>
        <w:t xml:space="preserve">(83%) </w:t>
      </w:r>
      <w:r w:rsidR="00FC4D83" w:rsidRPr="00FC4D83">
        <w:rPr>
          <w:rFonts w:ascii="Times New Roman" w:hAnsi="Times New Roman" w:cs="Times New Roman"/>
        </w:rPr>
        <w:t>are in China</w:t>
      </w:r>
      <w:r w:rsidR="00863258">
        <w:rPr>
          <w:rFonts w:ascii="Times New Roman" w:hAnsi="Times New Roman" w:cs="Times New Roman"/>
        </w:rPr>
        <w:t xml:space="preserve"> </w:t>
      </w:r>
      <w:r w:rsidR="00A51D8E" w:rsidRPr="00A51D8E">
        <w:rPr>
          <w:rFonts w:ascii="Times New Roman" w:hAnsi="Times New Roman" w:cs="Times New Roman"/>
        </w:rPr>
        <w:t>(D</w:t>
      </w:r>
      <w:r w:rsidR="00863258">
        <w:rPr>
          <w:rFonts w:ascii="Times New Roman" w:hAnsi="Times New Roman" w:cs="Times New Roman" w:hint="eastAsia"/>
        </w:rPr>
        <w:t>un</w:t>
      </w:r>
      <w:r w:rsidR="00863258">
        <w:rPr>
          <w:rFonts w:ascii="Times New Roman" w:hAnsi="Times New Roman" w:cs="Times New Roman"/>
        </w:rPr>
        <w:t xml:space="preserve"> et al., </w:t>
      </w:r>
      <w:r w:rsidR="00A51D8E" w:rsidRPr="00A51D8E">
        <w:rPr>
          <w:rFonts w:ascii="Times New Roman" w:hAnsi="Times New Roman" w:cs="Times New Roman"/>
        </w:rPr>
        <w:t>2019)</w:t>
      </w:r>
      <w:r w:rsidR="00863258">
        <w:rPr>
          <w:rFonts w:ascii="Times New Roman" w:hAnsi="Times New Roman" w:cs="Times New Roman"/>
        </w:rPr>
        <w:t>.</w:t>
      </w:r>
    </w:p>
    <w:p w14:paraId="7BFAAED2" w14:textId="12CF680B" w:rsidR="00FE2F5A" w:rsidRPr="00F15BD2" w:rsidRDefault="00FE2F5A" w:rsidP="00FE2F5A">
      <w:pPr>
        <w:ind w:firstLine="400"/>
        <w:rPr>
          <w:rFonts w:ascii="Times New Roman" w:hAnsi="Times New Roman" w:cs="Times New Roman"/>
        </w:rPr>
      </w:pPr>
      <w:r w:rsidRPr="00F15BD2">
        <w:rPr>
          <w:rFonts w:ascii="Times New Roman" w:hAnsi="Times New Roman" w:cs="Times New Roman"/>
          <w:b/>
          <w:bCs/>
        </w:rPr>
        <w:t>Mining&amp;Smelting</w:t>
      </w:r>
      <w:r w:rsidRPr="00F15BD2">
        <w:rPr>
          <w:rFonts w:ascii="Times New Roman" w:hAnsi="Times New Roman" w:cs="Times New Roman"/>
        </w:rPr>
        <w:t>. Ga metal is extracted as a byproduct, mainly from the Bayer process for alumina production and to a much smaller amount from the hydrometallurgical route for zinc refining. Other alternative sources, including fly ash generated from the combustion of coal in power plants, phosphate ores and aluminous clay stone and mudstone are not addressed in this study due to their lack of commercialization currently</w:t>
      </w:r>
      <w:r w:rsidR="00863258">
        <w:rPr>
          <w:rFonts w:ascii="Times New Roman" w:hAnsi="Times New Roman" w:cs="Times New Roman"/>
        </w:rPr>
        <w:t xml:space="preserve"> </w:t>
      </w:r>
      <w:r w:rsidR="00A51D8E" w:rsidRPr="00A51D8E">
        <w:rPr>
          <w:rFonts w:ascii="Times New Roman" w:hAnsi="Times New Roman" w:cs="Times New Roman"/>
        </w:rPr>
        <w:t>(Lu et al., 2017)</w:t>
      </w:r>
      <w:r w:rsidR="00863258">
        <w:rPr>
          <w:rFonts w:ascii="Times New Roman" w:hAnsi="Times New Roman" w:cs="Times New Roman"/>
        </w:rPr>
        <w:t>.</w:t>
      </w:r>
      <w:r w:rsidRPr="00F15BD2">
        <w:rPr>
          <w:rFonts w:ascii="Times New Roman" w:hAnsi="Times New Roman" w:cs="Times New Roman"/>
        </w:rPr>
        <w:t xml:space="preserve"> In the Bayer process, gallium accumulates in the alkaline solution (Bayer liquor) used to dissolve bauxite. However, only a small part of the gallium may be extracted since that few aluminum producers have Ga extraction facilities, while the rest ends up in the waste (red mud) or as an </w:t>
      </w:r>
      <w:proofErr w:type="gramStart"/>
      <w:r w:rsidRPr="00F15BD2">
        <w:rPr>
          <w:rFonts w:ascii="Times New Roman" w:hAnsi="Times New Roman" w:cs="Times New Roman"/>
        </w:rPr>
        <w:t>impurity flows</w:t>
      </w:r>
      <w:proofErr w:type="gramEnd"/>
      <w:r w:rsidRPr="00F15BD2">
        <w:rPr>
          <w:rFonts w:ascii="Times New Roman" w:hAnsi="Times New Roman" w:cs="Times New Roman"/>
        </w:rPr>
        <w:t xml:space="preserve"> into aluminum cycle</w:t>
      </w:r>
      <w:r w:rsidR="00863258">
        <w:rPr>
          <w:rFonts w:ascii="Times New Roman" w:hAnsi="Times New Roman" w:cs="Times New Roman"/>
        </w:rPr>
        <w:t xml:space="preserve"> </w:t>
      </w:r>
      <w:r w:rsidR="00A51D8E" w:rsidRPr="00A51D8E">
        <w:rPr>
          <w:rFonts w:ascii="Times New Roman" w:hAnsi="Times New Roman" w:cs="Times New Roman"/>
        </w:rPr>
        <w:t>(Licht et al., 2015)</w:t>
      </w:r>
      <w:r w:rsidR="00863258">
        <w:rPr>
          <w:rFonts w:ascii="Times New Roman" w:hAnsi="Times New Roman" w:cs="Times New Roman"/>
        </w:rPr>
        <w:t>.</w:t>
      </w:r>
      <w:r w:rsidRPr="00F15BD2">
        <w:rPr>
          <w:rFonts w:ascii="Times New Roman" w:hAnsi="Times New Roman" w:cs="Times New Roman"/>
        </w:rPr>
        <w:t xml:space="preserve"> About 30%-50% of the Ga in bauxite entering Bayer process will remain undissolved, which is so-called red mud and will be disposed of together with iron oxides, silicates and undissolved aluminum hydroxide</w:t>
      </w:r>
      <w:r w:rsidR="00863258">
        <w:rPr>
          <w:rFonts w:ascii="Times New Roman" w:hAnsi="Times New Roman" w:cs="Times New Roman"/>
        </w:rPr>
        <w:t xml:space="preserve"> </w:t>
      </w:r>
      <w:r w:rsidR="00A51D8E" w:rsidRPr="00A51D8E">
        <w:rPr>
          <w:rFonts w:ascii="Times New Roman" w:hAnsi="Times New Roman" w:cs="Times New Roman"/>
        </w:rPr>
        <w:t>(Zhao et al., 2012)</w:t>
      </w:r>
      <w:r w:rsidR="00863258">
        <w:rPr>
          <w:rFonts w:ascii="Times New Roman" w:hAnsi="Times New Roman" w:cs="Times New Roman"/>
        </w:rPr>
        <w:t>.</w:t>
      </w:r>
      <w:r w:rsidRPr="00F15BD2">
        <w:rPr>
          <w:rFonts w:ascii="Times New Roman" w:hAnsi="Times New Roman" w:cs="Times New Roman"/>
        </w:rPr>
        <w:t xml:space="preserve"> </w:t>
      </w:r>
      <w:bookmarkStart w:id="2" w:name="_Hlk126766758"/>
      <w:r w:rsidRPr="00F15BD2">
        <w:rPr>
          <w:rFonts w:ascii="Times New Roman" w:hAnsi="Times New Roman" w:cs="Times New Roman"/>
        </w:rPr>
        <w:t xml:space="preserve">About 40% of the Ga dissolved from bauxite enters the Ga extraction process when Ga accumulated in the Bayer liquor reaches a steady level. </w:t>
      </w:r>
      <w:bookmarkEnd w:id="2"/>
      <w:r w:rsidRPr="00F15BD2">
        <w:rPr>
          <w:rFonts w:ascii="Times New Roman" w:hAnsi="Times New Roman" w:cs="Times New Roman"/>
        </w:rPr>
        <w:t xml:space="preserve">The most preferentially used method to extract Ga from liquor is iron-exchange process. Due to the fact that there </w:t>
      </w:r>
      <w:proofErr w:type="gramStart"/>
      <w:r w:rsidRPr="00F15BD2">
        <w:rPr>
          <w:rFonts w:ascii="Times New Roman" w:hAnsi="Times New Roman" w:cs="Times New Roman"/>
        </w:rPr>
        <w:t>is</w:t>
      </w:r>
      <w:proofErr w:type="gramEnd"/>
      <w:r w:rsidRPr="00F15BD2">
        <w:rPr>
          <w:rFonts w:ascii="Times New Roman" w:hAnsi="Times New Roman" w:cs="Times New Roman"/>
        </w:rPr>
        <w:t xml:space="preserve"> no records on the exact amount of Ga extracted from lithosphere, the gallium input in the bauxite production is calculated backward by using the primary production of Ga, the average Ga content in bauxites, the yield in Ga recovery from Bayer liquor and the above-mentioned technical parameters</w:t>
      </w:r>
      <w:r w:rsidR="00863258">
        <w:rPr>
          <w:rFonts w:ascii="Times New Roman" w:hAnsi="Times New Roman" w:cs="Times New Roman"/>
        </w:rPr>
        <w:t xml:space="preserve"> </w:t>
      </w:r>
      <w:r w:rsidR="00A51D8E" w:rsidRPr="00A51D8E">
        <w:rPr>
          <w:rFonts w:ascii="Times New Roman" w:hAnsi="Times New Roman" w:cs="Times New Roman"/>
        </w:rPr>
        <w:t>(Løvik et al., 2015)</w:t>
      </w:r>
      <w:r w:rsidR="00863258">
        <w:rPr>
          <w:rFonts w:ascii="Times New Roman" w:hAnsi="Times New Roman" w:cs="Times New Roman"/>
        </w:rPr>
        <w:t>.</w:t>
      </w:r>
      <w:r w:rsidRPr="00F15BD2">
        <w:rPr>
          <w:rFonts w:ascii="Times New Roman" w:hAnsi="Times New Roman" w:cs="Times New Roman"/>
        </w:rPr>
        <w:t xml:space="preserve"> </w:t>
      </w:r>
    </w:p>
    <w:p w14:paraId="5B11B529" w14:textId="77777777" w:rsidR="00FE2F5A" w:rsidRPr="00F15BD2" w:rsidRDefault="00FE2F5A" w:rsidP="00FE2F5A">
      <w:pPr>
        <w:ind w:firstLine="400"/>
        <w:rPr>
          <w:rFonts w:ascii="Times New Roman" w:hAnsi="Times New Roman" w:cs="Times New Roman"/>
        </w:rPr>
      </w:pPr>
      <w:r w:rsidRPr="00F15BD2">
        <w:rPr>
          <w:rFonts w:ascii="Times New Roman" w:hAnsi="Times New Roman" w:cs="Times New Roman"/>
          <w:b/>
          <w:bCs/>
        </w:rPr>
        <w:t>Refining</w:t>
      </w:r>
    </w:p>
    <w:p w14:paraId="515FBDEF" w14:textId="53BFB74D" w:rsidR="00FE2F5A" w:rsidRPr="00F15BD2" w:rsidRDefault="00FE2F5A" w:rsidP="00FE2F5A">
      <w:pPr>
        <w:ind w:firstLine="400"/>
        <w:rPr>
          <w:rFonts w:ascii="Times New Roman" w:hAnsi="Times New Roman" w:cs="Times New Roman"/>
        </w:rPr>
      </w:pPr>
      <w:r w:rsidRPr="00F15BD2">
        <w:rPr>
          <w:rFonts w:ascii="Times New Roman" w:hAnsi="Times New Roman" w:cs="Times New Roman"/>
        </w:rPr>
        <w:t>Refining of crude gallium to a purity of 99.9999% (6N) or higher purities is achieved by a combination of methods, of which fractional crystallization and directional crystallization are most commonly used</w:t>
      </w:r>
      <w:r w:rsidR="00863258">
        <w:rPr>
          <w:rFonts w:ascii="Times New Roman" w:hAnsi="Times New Roman" w:cs="Times New Roman"/>
        </w:rPr>
        <w:t xml:space="preserve"> </w:t>
      </w:r>
      <w:r w:rsidR="00A51D8E" w:rsidRPr="00A51D8E">
        <w:rPr>
          <w:rFonts w:ascii="Times New Roman" w:hAnsi="Times New Roman" w:cs="Times New Roman"/>
        </w:rPr>
        <w:t>(Oliveira et al., 2021)</w:t>
      </w:r>
      <w:r w:rsidR="00863258">
        <w:rPr>
          <w:rFonts w:ascii="Times New Roman" w:hAnsi="Times New Roman" w:cs="Times New Roman"/>
        </w:rPr>
        <w:t>.</w:t>
      </w:r>
      <w:r w:rsidRPr="00F15BD2">
        <w:rPr>
          <w:rFonts w:ascii="Times New Roman" w:hAnsi="Times New Roman" w:cs="Times New Roman"/>
        </w:rPr>
        <w:t xml:space="preserve"> Although the overall yields of the refining process various among different method and final purities, the discarded material would be reintroduced at an earlier stage in the process chain. This recovery is here defined as part of the refining </w:t>
      </w:r>
      <w:r w:rsidRPr="00F15BD2">
        <w:rPr>
          <w:rFonts w:ascii="Times New Roman" w:hAnsi="Times New Roman" w:cs="Times New Roman"/>
        </w:rPr>
        <w:lastRenderedPageBreak/>
        <w:t xml:space="preserve">process. Thus, the overall yield of refining stage is close to </w:t>
      </w:r>
      <w:r w:rsidR="00D50983">
        <w:rPr>
          <w:rFonts w:ascii="Times New Roman" w:hAnsi="Times New Roman" w:cs="Times New Roman"/>
        </w:rPr>
        <w:t>95-</w:t>
      </w:r>
      <w:r w:rsidRPr="00F15BD2">
        <w:rPr>
          <w:rFonts w:ascii="Times New Roman" w:hAnsi="Times New Roman" w:cs="Times New Roman"/>
        </w:rPr>
        <w:t>100%</w:t>
      </w:r>
      <w:r w:rsidR="00863258">
        <w:rPr>
          <w:rFonts w:ascii="Times New Roman" w:hAnsi="Times New Roman" w:cs="Times New Roman"/>
        </w:rPr>
        <w:t xml:space="preserve"> </w:t>
      </w:r>
      <w:r w:rsidR="00A51D8E" w:rsidRPr="00A51D8E">
        <w:rPr>
          <w:rFonts w:ascii="Times New Roman" w:hAnsi="Times New Roman" w:cs="Times New Roman"/>
        </w:rPr>
        <w:t>(Jia et al., 2022)</w:t>
      </w:r>
      <w:r w:rsidR="00863258">
        <w:rPr>
          <w:rFonts w:ascii="Times New Roman" w:hAnsi="Times New Roman" w:cs="Times New Roman"/>
        </w:rPr>
        <w:t>.</w:t>
      </w:r>
      <w:r w:rsidRPr="00F15BD2">
        <w:rPr>
          <w:rFonts w:ascii="Times New Roman" w:hAnsi="Times New Roman" w:cs="Times New Roman"/>
        </w:rPr>
        <w:t xml:space="preserve">  The surplus between primary Ga production and refined Ga consumption are most likely stockpiled</w:t>
      </w:r>
      <w:r w:rsidR="00040402">
        <w:rPr>
          <w:rFonts w:ascii="Times New Roman" w:hAnsi="Times New Roman" w:cs="Times New Roman"/>
        </w:rPr>
        <w:t xml:space="preserve"> </w:t>
      </w:r>
      <w:r w:rsidR="00A51D8E" w:rsidRPr="00A51D8E">
        <w:rPr>
          <w:rFonts w:ascii="Times New Roman" w:hAnsi="Times New Roman" w:cs="Times New Roman"/>
        </w:rPr>
        <w:t>(USGS National Minerals Information Center</w:t>
      </w:r>
      <w:r w:rsidR="00040402">
        <w:rPr>
          <w:rFonts w:ascii="Times New Roman" w:hAnsi="Times New Roman" w:cs="Times New Roman"/>
        </w:rPr>
        <w:t>, 2018</w:t>
      </w:r>
      <w:r w:rsidR="00A51D8E" w:rsidRPr="00A51D8E">
        <w:rPr>
          <w:rFonts w:ascii="Times New Roman" w:hAnsi="Times New Roman" w:cs="Times New Roman"/>
        </w:rPr>
        <w:t>)</w:t>
      </w:r>
      <w:r w:rsidR="00040402">
        <w:rPr>
          <w:rFonts w:ascii="Times New Roman" w:hAnsi="Times New Roman" w:cs="Times New Roman"/>
        </w:rPr>
        <w:t>.</w:t>
      </w:r>
      <w:r w:rsidRPr="00F15BD2">
        <w:rPr>
          <w:rFonts w:ascii="Times New Roman" w:hAnsi="Times New Roman" w:cs="Times New Roman"/>
        </w:rPr>
        <w:t xml:space="preserve"> </w:t>
      </w:r>
    </w:p>
    <w:p w14:paraId="61066412" w14:textId="77777777" w:rsidR="00FE2F5A" w:rsidRPr="00F15BD2" w:rsidRDefault="00FE2F5A" w:rsidP="00FE2F5A">
      <w:pPr>
        <w:ind w:firstLine="400"/>
        <w:rPr>
          <w:rFonts w:ascii="Times New Roman" w:hAnsi="Times New Roman" w:cs="Times New Roman"/>
          <w:b/>
          <w:bCs/>
        </w:rPr>
      </w:pPr>
      <w:r w:rsidRPr="00F15BD2">
        <w:rPr>
          <w:rFonts w:ascii="Times New Roman" w:hAnsi="Times New Roman" w:cs="Times New Roman"/>
          <w:b/>
          <w:bCs/>
        </w:rPr>
        <w:t>Fabrication</w:t>
      </w:r>
    </w:p>
    <w:p w14:paraId="4D39F61B" w14:textId="5CB2D204" w:rsidR="00FE2F5A" w:rsidRPr="00F15BD2" w:rsidRDefault="00FE2F5A" w:rsidP="00FE2F5A">
      <w:pPr>
        <w:ind w:firstLine="400"/>
        <w:rPr>
          <w:rFonts w:ascii="Times New Roman" w:hAnsi="Times New Roman" w:cs="Times New Roman"/>
        </w:rPr>
      </w:pPr>
      <w:r w:rsidRPr="00F15BD2">
        <w:rPr>
          <w:rFonts w:ascii="Times New Roman" w:hAnsi="Times New Roman" w:cs="Times New Roman"/>
        </w:rPr>
        <w:t>Refined Ga is further processed in the fabrication stage, in the forms of Ga metal or Ga-containing compounds. The main sources of Ga demand arise from their uses in compound semiconductors, such as gallium arsenide (GaAs), gallium nitride (GaN), gallium phosphide (GaP) and copper indium gallium diselenide (CIGS).  These ingredients are either grown as single crystals and cut into wafers or produced directly from precursor gases or other sources during the fabrication process. Integrated circuits (ICs), light emitting diodes (LEDs), neodymium iron boron (NdFeB) permanent magnets and copper indium gallium selenide (CIGS) solar cells are four major Ga-containing products. Other industrial uses include low-melting alloys, catalysts, medical applications, and heat transfer substance in atomic industry</w:t>
      </w:r>
      <w:r w:rsidR="00863258">
        <w:rPr>
          <w:rFonts w:ascii="Times New Roman" w:hAnsi="Times New Roman" w:cs="Times New Roman"/>
        </w:rPr>
        <w:t xml:space="preserve"> </w:t>
      </w:r>
      <w:r w:rsidR="00A51D8E" w:rsidRPr="00A51D8E">
        <w:rPr>
          <w:rFonts w:ascii="Times New Roman" w:hAnsi="Times New Roman" w:cs="Times New Roman"/>
        </w:rPr>
        <w:t>(Foley et al.</w:t>
      </w:r>
      <w:r w:rsidR="00863258">
        <w:rPr>
          <w:rFonts w:ascii="Times New Roman" w:hAnsi="Times New Roman" w:cs="Times New Roman"/>
        </w:rPr>
        <w:t xml:space="preserve">, </w:t>
      </w:r>
      <w:r w:rsidR="00BC28E5">
        <w:rPr>
          <w:rFonts w:ascii="Times New Roman" w:hAnsi="Times New Roman" w:cs="Times New Roman" w:hint="eastAsia"/>
        </w:rPr>
        <w:t>2017</w:t>
      </w:r>
      <w:r w:rsidR="00A51D8E" w:rsidRPr="00A51D8E">
        <w:rPr>
          <w:rFonts w:ascii="Times New Roman" w:hAnsi="Times New Roman" w:cs="Times New Roman"/>
        </w:rPr>
        <w:t>)</w:t>
      </w:r>
      <w:r w:rsidR="00863258">
        <w:rPr>
          <w:rFonts w:ascii="Times New Roman" w:hAnsi="Times New Roman" w:cs="Times New Roman"/>
        </w:rPr>
        <w:t>.</w:t>
      </w:r>
    </w:p>
    <w:p w14:paraId="43A35568" w14:textId="6C9DA51A" w:rsidR="00FE2F5A" w:rsidRPr="00F15BD2" w:rsidRDefault="00FE2F5A" w:rsidP="00FE2F5A">
      <w:pPr>
        <w:ind w:firstLine="400"/>
        <w:rPr>
          <w:rFonts w:ascii="Times New Roman" w:hAnsi="Times New Roman" w:cs="Times New Roman"/>
        </w:rPr>
      </w:pPr>
      <w:r w:rsidRPr="00F15BD2">
        <w:rPr>
          <w:rFonts w:ascii="Times New Roman" w:hAnsi="Times New Roman" w:cs="Times New Roman"/>
        </w:rPr>
        <w:t xml:space="preserve">The fabrication of semiconductor devices (i.e., wafers) consist of a few </w:t>
      </w:r>
      <w:proofErr w:type="gramStart"/>
      <w:r w:rsidRPr="00F15BD2">
        <w:rPr>
          <w:rFonts w:ascii="Times New Roman" w:hAnsi="Times New Roman" w:cs="Times New Roman"/>
        </w:rPr>
        <w:t>microns</w:t>
      </w:r>
      <w:proofErr w:type="gramEnd"/>
      <w:r w:rsidRPr="00F15BD2">
        <w:rPr>
          <w:rFonts w:ascii="Times New Roman" w:hAnsi="Times New Roman" w:cs="Times New Roman"/>
        </w:rPr>
        <w:t xml:space="preserve"> thick deposition layer on the surface of much thicker substrate</w:t>
      </w:r>
      <w:bookmarkStart w:id="3" w:name="OLE_LINK4"/>
      <w:r w:rsidRPr="00F15BD2">
        <w:rPr>
          <w:rFonts w:ascii="Times New Roman" w:hAnsi="Times New Roman" w:cs="Times New Roman"/>
        </w:rPr>
        <w:t>. A large amount of industrial scrap is produced during the back-grinding process of substrate, which reduced substrate thickness to allow the operation of semiconductor devices. Other main forms of industrial scrap include bulk crystal pieces, broken wafers, and slurries from cutting, etching and polishing of wafers. Part of industrial scraps may be recycled directly as new scraps in closed loop.  Additionally, in the fabrication of NdFeB magnets, Ga is generally added as a minor element to improve the magnetic properties and corrosion resistance</w:t>
      </w:r>
      <w:r w:rsidR="00863258">
        <w:rPr>
          <w:rFonts w:ascii="Times New Roman" w:hAnsi="Times New Roman" w:cs="Times New Roman"/>
        </w:rPr>
        <w:t xml:space="preserve"> </w:t>
      </w:r>
      <w:r w:rsidR="00A51D8E" w:rsidRPr="00A51D8E">
        <w:rPr>
          <w:rFonts w:ascii="Times New Roman" w:hAnsi="Times New Roman" w:cs="Times New Roman"/>
        </w:rPr>
        <w:t>(Bai et al., 2007)</w:t>
      </w:r>
      <w:r w:rsidR="00863258">
        <w:rPr>
          <w:rFonts w:ascii="Times New Roman" w:hAnsi="Times New Roman" w:cs="Times New Roman"/>
        </w:rPr>
        <w:t>.</w:t>
      </w:r>
      <w:r w:rsidRPr="00F15BD2">
        <w:rPr>
          <w:rFonts w:ascii="Times New Roman" w:hAnsi="Times New Roman" w:cs="Times New Roman"/>
        </w:rPr>
        <w:t xml:space="preserve"> </w:t>
      </w:r>
    </w:p>
    <w:bookmarkEnd w:id="3"/>
    <w:p w14:paraId="6C104A53" w14:textId="77777777" w:rsidR="00FE2F5A" w:rsidRPr="00F15BD2" w:rsidRDefault="00FE2F5A" w:rsidP="00FE2F5A">
      <w:pPr>
        <w:ind w:firstLine="400"/>
        <w:rPr>
          <w:rFonts w:ascii="Times New Roman" w:hAnsi="Times New Roman" w:cs="Times New Roman"/>
          <w:b/>
          <w:bCs/>
        </w:rPr>
      </w:pPr>
      <w:r w:rsidRPr="00F15BD2">
        <w:rPr>
          <w:rFonts w:ascii="Times New Roman" w:hAnsi="Times New Roman" w:cs="Times New Roman"/>
          <w:b/>
          <w:bCs/>
        </w:rPr>
        <w:t>Manufacturing/Use</w:t>
      </w:r>
    </w:p>
    <w:p w14:paraId="4800404C" w14:textId="45E7D1C5" w:rsidR="00FE2F5A" w:rsidRPr="00F15BD2" w:rsidRDefault="00FE2F5A" w:rsidP="00FE2F5A">
      <w:pPr>
        <w:ind w:firstLine="400"/>
        <w:rPr>
          <w:rFonts w:ascii="Times New Roman" w:hAnsi="Times New Roman" w:cs="Times New Roman"/>
        </w:rPr>
      </w:pPr>
      <w:r w:rsidRPr="00F15BD2">
        <w:rPr>
          <w:rFonts w:ascii="Times New Roman" w:hAnsi="Times New Roman" w:cs="Times New Roman"/>
        </w:rPr>
        <w:t>All the Ga semi-products are further processed and assembled into finished products through the manufacturing stage. Then the finished products enter use phase and become the in-use stocks. ICs are mainly used in smartphones, tablets, and other wireless devices. LEDs are mainly used in general lighting, automotive and other display applications. Typical applications of NdFeB magnets are electric robots, computers and audio systems</w:t>
      </w:r>
      <w:r w:rsidR="00863258">
        <w:rPr>
          <w:rFonts w:ascii="Times New Roman" w:hAnsi="Times New Roman" w:cs="Times New Roman"/>
        </w:rPr>
        <w:t xml:space="preserve"> </w:t>
      </w:r>
      <w:r w:rsidR="00A51D8E" w:rsidRPr="00A51D8E">
        <w:rPr>
          <w:rFonts w:ascii="Times New Roman" w:hAnsi="Times New Roman" w:cs="Times New Roman"/>
        </w:rPr>
        <w:t>(Yao et al., 2021)</w:t>
      </w:r>
      <w:r w:rsidR="00863258">
        <w:rPr>
          <w:rFonts w:ascii="Times New Roman" w:hAnsi="Times New Roman" w:cs="Times New Roman"/>
        </w:rPr>
        <w:t>.</w:t>
      </w:r>
    </w:p>
    <w:p w14:paraId="4CAF7E0C" w14:textId="77777777" w:rsidR="00FE2F5A" w:rsidRPr="00F15BD2" w:rsidRDefault="00FE2F5A" w:rsidP="00FE2F5A">
      <w:pPr>
        <w:ind w:firstLine="400"/>
        <w:rPr>
          <w:rFonts w:ascii="Times New Roman" w:hAnsi="Times New Roman" w:cs="Times New Roman"/>
          <w:b/>
          <w:bCs/>
        </w:rPr>
      </w:pPr>
      <w:r w:rsidRPr="00F15BD2">
        <w:rPr>
          <w:rFonts w:ascii="Times New Roman" w:hAnsi="Times New Roman" w:cs="Times New Roman"/>
          <w:b/>
          <w:bCs/>
        </w:rPr>
        <w:t>Waste management</w:t>
      </w:r>
    </w:p>
    <w:p w14:paraId="214001AD" w14:textId="18AF49B4" w:rsidR="00FC4D83" w:rsidRDefault="00FE2F5A" w:rsidP="002B0193">
      <w:pPr>
        <w:ind w:firstLine="400"/>
        <w:rPr>
          <w:rFonts w:ascii="Times New Roman" w:hAnsi="Times New Roman" w:cs="Times New Roman"/>
        </w:rPr>
      </w:pPr>
      <w:r w:rsidRPr="00F15BD2">
        <w:rPr>
          <w:rFonts w:ascii="Times New Roman" w:hAnsi="Times New Roman" w:cs="Times New Roman"/>
        </w:rPr>
        <w:t xml:space="preserve">Given that it is challenging for separating and recovering Ga from end-of-life products that contain multiple metals and materials (such as electric vehicles and computers), Ga is often treated as impurity in recycled old scraps. Wastes containing gallium will be handled through typical waste management methods such as landfilling and incineration. With limited information available on recycling gallium-containing products, these end-of-life materials are considered non-recoverable and will ultimately end up in the environment. </w:t>
      </w:r>
    </w:p>
    <w:p w14:paraId="17AB32C5" w14:textId="77777777" w:rsidR="002B0193" w:rsidRPr="002B0193" w:rsidRDefault="002B0193" w:rsidP="002B0193">
      <w:pPr>
        <w:ind w:firstLine="400"/>
        <w:rPr>
          <w:rFonts w:ascii="Times New Roman" w:hAnsi="Times New Roman" w:cs="Times New Roman"/>
        </w:rPr>
      </w:pPr>
    </w:p>
    <w:p w14:paraId="5C91AF1C" w14:textId="77777777" w:rsidR="00834C9D" w:rsidRDefault="00834C9D">
      <w:pPr>
        <w:rPr>
          <w:rFonts w:ascii="Times New Roman" w:hAnsi="Times New Roman" w:cs="Times New Roman"/>
          <w:bCs/>
          <w:color w:val="000000"/>
          <w:sz w:val="24"/>
          <w:szCs w:val="24"/>
        </w:rPr>
      </w:pPr>
    </w:p>
    <w:p w14:paraId="46CCBA0E" w14:textId="77777777" w:rsidR="00834C9D" w:rsidRDefault="00834C9D">
      <w:pPr>
        <w:rPr>
          <w:rFonts w:ascii="Times New Roman" w:hAnsi="Times New Roman" w:cs="Times New Roman"/>
          <w:bCs/>
          <w:color w:val="000000"/>
          <w:sz w:val="24"/>
          <w:szCs w:val="24"/>
        </w:rPr>
      </w:pPr>
    </w:p>
    <w:p w14:paraId="1CB3E59A" w14:textId="14DF4C8B" w:rsidR="00BD7809" w:rsidRPr="00BC28E5" w:rsidRDefault="00EE5248" w:rsidP="005103D1">
      <w:pPr>
        <w:rPr>
          <w:rFonts w:ascii="Times New Roman" w:hAnsi="Times New Roman" w:cs="Times New Roman"/>
          <w:bCs/>
          <w:color w:val="000000"/>
          <w:sz w:val="20"/>
          <w:szCs w:val="20"/>
        </w:rPr>
      </w:pPr>
      <w:r w:rsidRPr="00BC28E5">
        <w:rPr>
          <w:rFonts w:ascii="Times New Roman" w:hAnsi="Times New Roman" w:cs="Times New Roman"/>
          <w:bCs/>
          <w:color w:val="000000"/>
          <w:sz w:val="20"/>
          <w:szCs w:val="20"/>
        </w:rPr>
        <w:t xml:space="preserve">Table </w:t>
      </w:r>
      <w:r w:rsidR="00D97435" w:rsidRPr="00BC28E5">
        <w:rPr>
          <w:rFonts w:ascii="Times New Roman" w:hAnsi="Times New Roman" w:cs="Times New Roman"/>
          <w:bCs/>
          <w:color w:val="000000"/>
          <w:sz w:val="20"/>
          <w:szCs w:val="20"/>
        </w:rPr>
        <w:t>A1</w:t>
      </w:r>
      <w:r w:rsidRPr="00BC28E5">
        <w:rPr>
          <w:rFonts w:ascii="Times New Roman" w:hAnsi="Times New Roman" w:cs="Times New Roman"/>
          <w:bCs/>
          <w:color w:val="000000"/>
          <w:sz w:val="20"/>
          <w:szCs w:val="20"/>
        </w:rPr>
        <w:t xml:space="preserve">. </w:t>
      </w:r>
      <w:bookmarkStart w:id="4" w:name="_Hlk130223305"/>
      <w:r w:rsidRPr="00BC28E5">
        <w:rPr>
          <w:rFonts w:ascii="Times New Roman" w:hAnsi="Times New Roman" w:cs="Times New Roman"/>
          <w:bCs/>
          <w:color w:val="000000"/>
          <w:sz w:val="20"/>
          <w:szCs w:val="20"/>
        </w:rPr>
        <w:t>Average lifespans of Ga-containing product</w:t>
      </w:r>
      <w:r w:rsidR="002B0193" w:rsidRPr="00BC28E5">
        <w:rPr>
          <w:rFonts w:ascii="Times New Roman" w:hAnsi="Times New Roman" w:cs="Times New Roman"/>
          <w:bCs/>
          <w:color w:val="000000"/>
          <w:sz w:val="20"/>
          <w:szCs w:val="20"/>
        </w:rPr>
        <w:t>s</w:t>
      </w:r>
      <w:bookmarkEnd w:id="4"/>
      <w:r w:rsidR="00863258">
        <w:rPr>
          <w:rFonts w:ascii="Times New Roman" w:hAnsi="Times New Roman" w:cs="Times New Roman"/>
          <w:bCs/>
          <w:color w:val="000000"/>
          <w:sz w:val="20"/>
          <w:szCs w:val="20"/>
        </w:rPr>
        <w:t xml:space="preserve"> </w:t>
      </w:r>
      <w:r w:rsidR="00A51D8E" w:rsidRPr="00BC28E5">
        <w:rPr>
          <w:rFonts w:ascii="Times New Roman" w:hAnsi="Times New Roman" w:cs="Times New Roman"/>
          <w:bCs/>
          <w:color w:val="000000"/>
          <w:sz w:val="20"/>
          <w:szCs w:val="20"/>
        </w:rPr>
        <w:t>(Werner et al., 2018; Zhang et al., 2015; Sekine et al., 2017)</w:t>
      </w:r>
      <w:r w:rsidR="00863258">
        <w:rPr>
          <w:rFonts w:ascii="Times New Roman" w:hAnsi="Times New Roman" w:cs="Times New Roman"/>
          <w:bCs/>
          <w:color w:val="000000"/>
          <w:sz w:val="20"/>
          <w:szCs w:val="20"/>
        </w:rPr>
        <w:t>.</w:t>
      </w:r>
    </w:p>
    <w:tbl>
      <w:tblPr>
        <w:tblStyle w:val="a3"/>
        <w:tblW w:w="0" w:type="auto"/>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ayout w:type="fixed"/>
        <w:tblLook w:val="04A0" w:firstRow="1" w:lastRow="0" w:firstColumn="1" w:lastColumn="0" w:noHBand="0" w:noVBand="1"/>
      </w:tblPr>
      <w:tblGrid>
        <w:gridCol w:w="1795"/>
        <w:gridCol w:w="900"/>
        <w:gridCol w:w="900"/>
        <w:gridCol w:w="2165"/>
        <w:gridCol w:w="1710"/>
        <w:gridCol w:w="1160"/>
      </w:tblGrid>
      <w:tr w:rsidR="00834C9D" w:rsidRPr="00371BA1" w14:paraId="0D00CC01" w14:textId="77777777" w:rsidTr="00BC28E5">
        <w:tc>
          <w:tcPr>
            <w:tcW w:w="1795" w:type="dxa"/>
          </w:tcPr>
          <w:p w14:paraId="59CCD160" w14:textId="77777777" w:rsidR="00834C9D" w:rsidRPr="00371BA1" w:rsidRDefault="00834C9D" w:rsidP="00834C9D">
            <w:pPr>
              <w:jc w:val="center"/>
              <w:rPr>
                <w:rFonts w:ascii="Times New Roman" w:hAnsi="Times New Roman" w:cs="Times New Roman"/>
                <w:sz w:val="20"/>
                <w:szCs w:val="20"/>
              </w:rPr>
            </w:pPr>
            <w:r w:rsidRPr="00371BA1">
              <w:rPr>
                <w:rFonts w:ascii="Times New Roman" w:hAnsi="Times New Roman" w:cs="Times New Roman"/>
                <w:sz w:val="20"/>
                <w:szCs w:val="20"/>
              </w:rPr>
              <w:t>Application</w:t>
            </w:r>
          </w:p>
        </w:tc>
        <w:tc>
          <w:tcPr>
            <w:tcW w:w="900" w:type="dxa"/>
          </w:tcPr>
          <w:p w14:paraId="218923A6" w14:textId="77777777" w:rsidR="00834C9D" w:rsidRPr="00371BA1" w:rsidRDefault="00834C9D" w:rsidP="00834C9D">
            <w:pPr>
              <w:jc w:val="center"/>
              <w:rPr>
                <w:rFonts w:ascii="Times New Roman" w:hAnsi="Times New Roman" w:cs="Times New Roman"/>
                <w:sz w:val="20"/>
                <w:szCs w:val="20"/>
              </w:rPr>
            </w:pPr>
            <w:r w:rsidRPr="00371BA1">
              <w:rPr>
                <w:rFonts w:ascii="Times New Roman" w:hAnsi="Times New Roman" w:cs="Times New Roman"/>
                <w:sz w:val="20"/>
                <w:szCs w:val="20"/>
              </w:rPr>
              <w:t>LEDs</w:t>
            </w:r>
          </w:p>
        </w:tc>
        <w:tc>
          <w:tcPr>
            <w:tcW w:w="900" w:type="dxa"/>
          </w:tcPr>
          <w:p w14:paraId="25294DA1" w14:textId="77777777" w:rsidR="00834C9D" w:rsidRPr="00371BA1" w:rsidRDefault="00834C9D" w:rsidP="00834C9D">
            <w:pPr>
              <w:ind w:firstLine="400"/>
              <w:jc w:val="center"/>
              <w:rPr>
                <w:rFonts w:ascii="Times New Roman" w:hAnsi="Times New Roman" w:cs="Times New Roman"/>
                <w:sz w:val="20"/>
                <w:szCs w:val="20"/>
              </w:rPr>
            </w:pPr>
            <w:r w:rsidRPr="00371BA1">
              <w:rPr>
                <w:rFonts w:ascii="Times New Roman" w:hAnsi="Times New Roman" w:cs="Times New Roman"/>
                <w:sz w:val="20"/>
                <w:szCs w:val="20"/>
              </w:rPr>
              <w:t>ICs</w:t>
            </w:r>
          </w:p>
        </w:tc>
        <w:tc>
          <w:tcPr>
            <w:tcW w:w="2165" w:type="dxa"/>
          </w:tcPr>
          <w:p w14:paraId="3C93E76A" w14:textId="77777777" w:rsidR="00834C9D" w:rsidRPr="00371BA1" w:rsidRDefault="00834C9D" w:rsidP="00834C9D">
            <w:pPr>
              <w:ind w:firstLine="400"/>
              <w:jc w:val="center"/>
              <w:rPr>
                <w:rFonts w:ascii="Times New Roman" w:hAnsi="Times New Roman" w:cs="Times New Roman"/>
                <w:sz w:val="20"/>
                <w:szCs w:val="20"/>
              </w:rPr>
            </w:pPr>
            <w:r w:rsidRPr="00371BA1">
              <w:rPr>
                <w:rFonts w:ascii="Times New Roman" w:hAnsi="Times New Roman" w:cs="Times New Roman"/>
                <w:sz w:val="20"/>
                <w:szCs w:val="20"/>
              </w:rPr>
              <w:t>NdFeB permanent magnets</w:t>
            </w:r>
          </w:p>
        </w:tc>
        <w:tc>
          <w:tcPr>
            <w:tcW w:w="1710" w:type="dxa"/>
          </w:tcPr>
          <w:p w14:paraId="1121A3C1" w14:textId="77777777" w:rsidR="00834C9D" w:rsidRPr="00371BA1" w:rsidRDefault="00834C9D" w:rsidP="00834C9D">
            <w:pPr>
              <w:ind w:firstLine="400"/>
              <w:jc w:val="center"/>
              <w:rPr>
                <w:rFonts w:ascii="Times New Roman" w:hAnsi="Times New Roman" w:cs="Times New Roman"/>
                <w:sz w:val="20"/>
                <w:szCs w:val="20"/>
              </w:rPr>
            </w:pPr>
            <w:r w:rsidRPr="00371BA1">
              <w:rPr>
                <w:rFonts w:ascii="Times New Roman" w:hAnsi="Times New Roman" w:cs="Times New Roman"/>
                <w:sz w:val="20"/>
                <w:szCs w:val="20"/>
              </w:rPr>
              <w:t>Photovoltaics</w:t>
            </w:r>
          </w:p>
        </w:tc>
        <w:tc>
          <w:tcPr>
            <w:tcW w:w="1160" w:type="dxa"/>
          </w:tcPr>
          <w:p w14:paraId="5293D936" w14:textId="46D10EA6" w:rsidR="00834C9D" w:rsidRPr="00371BA1" w:rsidRDefault="00834C9D" w:rsidP="00834C9D">
            <w:pPr>
              <w:ind w:firstLine="400"/>
              <w:jc w:val="center"/>
              <w:rPr>
                <w:rFonts w:ascii="Times New Roman" w:hAnsi="Times New Roman" w:cs="Times New Roman"/>
                <w:sz w:val="20"/>
                <w:szCs w:val="20"/>
              </w:rPr>
            </w:pPr>
            <w:r>
              <w:rPr>
                <w:rFonts w:ascii="Times New Roman" w:hAnsi="Times New Roman" w:cs="Times New Roman"/>
                <w:sz w:val="20"/>
                <w:szCs w:val="20"/>
              </w:rPr>
              <w:t>O</w:t>
            </w:r>
            <w:r w:rsidRPr="00371BA1">
              <w:rPr>
                <w:rFonts w:ascii="Times New Roman" w:hAnsi="Times New Roman" w:cs="Times New Roman"/>
                <w:sz w:val="20"/>
                <w:szCs w:val="20"/>
              </w:rPr>
              <w:t>thers</w:t>
            </w:r>
          </w:p>
        </w:tc>
      </w:tr>
      <w:tr w:rsidR="00834C9D" w:rsidRPr="00371BA1" w14:paraId="58EA43A0" w14:textId="77777777" w:rsidTr="00BC28E5">
        <w:tc>
          <w:tcPr>
            <w:tcW w:w="1795" w:type="dxa"/>
          </w:tcPr>
          <w:p w14:paraId="729EFE9A" w14:textId="77777777" w:rsidR="00834C9D" w:rsidRPr="00371BA1" w:rsidRDefault="00834C9D" w:rsidP="00834C9D">
            <w:pPr>
              <w:jc w:val="center"/>
              <w:rPr>
                <w:rFonts w:ascii="Times New Roman" w:hAnsi="Times New Roman" w:cs="Times New Roman"/>
                <w:sz w:val="20"/>
                <w:szCs w:val="20"/>
              </w:rPr>
            </w:pPr>
            <w:r w:rsidRPr="00371BA1">
              <w:rPr>
                <w:rFonts w:ascii="Times New Roman" w:hAnsi="Times New Roman" w:cs="Times New Roman"/>
                <w:sz w:val="20"/>
                <w:szCs w:val="20"/>
              </w:rPr>
              <w:t>Lifespan (in years)</w:t>
            </w:r>
          </w:p>
        </w:tc>
        <w:tc>
          <w:tcPr>
            <w:tcW w:w="900" w:type="dxa"/>
          </w:tcPr>
          <w:p w14:paraId="589A5BA5" w14:textId="77777777" w:rsidR="00834C9D" w:rsidRPr="00371BA1" w:rsidRDefault="00834C9D" w:rsidP="00834C9D">
            <w:pPr>
              <w:jc w:val="center"/>
              <w:rPr>
                <w:rFonts w:ascii="Times New Roman" w:hAnsi="Times New Roman" w:cs="Times New Roman"/>
                <w:sz w:val="20"/>
                <w:szCs w:val="20"/>
              </w:rPr>
            </w:pPr>
            <w:r w:rsidRPr="00371BA1">
              <w:rPr>
                <w:rFonts w:ascii="Times New Roman" w:hAnsi="Times New Roman" w:cs="Times New Roman"/>
                <w:sz w:val="20"/>
                <w:szCs w:val="20"/>
              </w:rPr>
              <w:t>6</w:t>
            </w:r>
          </w:p>
        </w:tc>
        <w:tc>
          <w:tcPr>
            <w:tcW w:w="900" w:type="dxa"/>
          </w:tcPr>
          <w:p w14:paraId="34BAB2F7" w14:textId="77777777" w:rsidR="00834C9D" w:rsidRPr="00371BA1" w:rsidRDefault="00834C9D" w:rsidP="00834C9D">
            <w:pPr>
              <w:ind w:firstLine="400"/>
              <w:jc w:val="center"/>
              <w:rPr>
                <w:rFonts w:ascii="Times New Roman" w:hAnsi="Times New Roman" w:cs="Times New Roman"/>
                <w:sz w:val="20"/>
                <w:szCs w:val="20"/>
              </w:rPr>
            </w:pPr>
            <w:r w:rsidRPr="00371BA1">
              <w:rPr>
                <w:rFonts w:ascii="Times New Roman" w:hAnsi="Times New Roman" w:cs="Times New Roman"/>
                <w:sz w:val="20"/>
                <w:szCs w:val="20"/>
              </w:rPr>
              <w:t>5</w:t>
            </w:r>
          </w:p>
        </w:tc>
        <w:tc>
          <w:tcPr>
            <w:tcW w:w="2165" w:type="dxa"/>
          </w:tcPr>
          <w:p w14:paraId="79708864" w14:textId="77777777" w:rsidR="00834C9D" w:rsidRPr="00371BA1" w:rsidRDefault="00834C9D" w:rsidP="00834C9D">
            <w:pPr>
              <w:ind w:firstLine="400"/>
              <w:jc w:val="center"/>
              <w:rPr>
                <w:rFonts w:ascii="Times New Roman" w:hAnsi="Times New Roman" w:cs="Times New Roman"/>
                <w:sz w:val="20"/>
                <w:szCs w:val="20"/>
              </w:rPr>
            </w:pPr>
            <w:r w:rsidRPr="00371BA1">
              <w:rPr>
                <w:rFonts w:ascii="Times New Roman" w:hAnsi="Times New Roman" w:cs="Times New Roman"/>
                <w:sz w:val="20"/>
                <w:szCs w:val="20"/>
              </w:rPr>
              <w:t>11</w:t>
            </w:r>
          </w:p>
        </w:tc>
        <w:tc>
          <w:tcPr>
            <w:tcW w:w="1710" w:type="dxa"/>
          </w:tcPr>
          <w:p w14:paraId="6D2D5C49" w14:textId="77777777" w:rsidR="00834C9D" w:rsidRPr="00371BA1" w:rsidRDefault="00834C9D" w:rsidP="00834C9D">
            <w:pPr>
              <w:ind w:firstLine="400"/>
              <w:jc w:val="center"/>
              <w:rPr>
                <w:rFonts w:ascii="Times New Roman" w:hAnsi="Times New Roman" w:cs="Times New Roman"/>
                <w:sz w:val="20"/>
                <w:szCs w:val="20"/>
              </w:rPr>
            </w:pPr>
            <w:r w:rsidRPr="00371BA1">
              <w:rPr>
                <w:rFonts w:ascii="Times New Roman" w:hAnsi="Times New Roman" w:cs="Times New Roman"/>
                <w:sz w:val="20"/>
                <w:szCs w:val="20"/>
              </w:rPr>
              <w:t>28</w:t>
            </w:r>
          </w:p>
        </w:tc>
        <w:tc>
          <w:tcPr>
            <w:tcW w:w="1160" w:type="dxa"/>
          </w:tcPr>
          <w:p w14:paraId="003A5562" w14:textId="77777777" w:rsidR="00834C9D" w:rsidRPr="00371BA1" w:rsidRDefault="00834C9D" w:rsidP="00834C9D">
            <w:pPr>
              <w:ind w:firstLine="400"/>
              <w:jc w:val="center"/>
              <w:rPr>
                <w:rFonts w:ascii="Times New Roman" w:hAnsi="Times New Roman" w:cs="Times New Roman"/>
                <w:sz w:val="20"/>
                <w:szCs w:val="20"/>
              </w:rPr>
            </w:pPr>
            <w:r w:rsidRPr="00371BA1">
              <w:rPr>
                <w:rFonts w:ascii="Times New Roman" w:hAnsi="Times New Roman" w:cs="Times New Roman"/>
                <w:sz w:val="20"/>
                <w:szCs w:val="20"/>
              </w:rPr>
              <w:t>7</w:t>
            </w:r>
          </w:p>
        </w:tc>
      </w:tr>
    </w:tbl>
    <w:p w14:paraId="09A14305" w14:textId="6716F4CC" w:rsidR="00BD7809" w:rsidRDefault="00BD7809" w:rsidP="00834C9D">
      <w:pPr>
        <w:jc w:val="center"/>
        <w:rPr>
          <w:rFonts w:ascii="Times New Roman" w:hAnsi="Times New Roman" w:cs="Times New Roman"/>
          <w:bCs/>
          <w:color w:val="000000"/>
          <w:sz w:val="24"/>
          <w:szCs w:val="24"/>
        </w:rPr>
      </w:pPr>
    </w:p>
    <w:p w14:paraId="6005F249" w14:textId="3275E0CD" w:rsidR="0071586A" w:rsidRPr="00BC28E5" w:rsidRDefault="0071586A" w:rsidP="00BC28E5">
      <w:pPr>
        <w:pStyle w:val="CitaviBibliographyEntry"/>
        <w:rPr>
          <w:rFonts w:ascii="Times New Roman" w:hAnsi="Times New Roman" w:cs="Times New Roman"/>
          <w:sz w:val="20"/>
          <w:szCs w:val="20"/>
        </w:rPr>
      </w:pPr>
      <w:bookmarkStart w:id="5" w:name="_Hlk147600119"/>
      <w:r w:rsidRPr="00BC28E5">
        <w:rPr>
          <w:rFonts w:ascii="Times New Roman" w:hAnsi="Times New Roman" w:cs="Times New Roman"/>
          <w:sz w:val="20"/>
          <w:szCs w:val="20"/>
        </w:rPr>
        <w:t xml:space="preserve">Table A2. </w:t>
      </w:r>
      <w:r w:rsidRPr="00863258">
        <w:rPr>
          <w:rFonts w:ascii="Times New Roman" w:hAnsi="Times New Roman" w:cs="Times New Roman"/>
          <w:sz w:val="20"/>
          <w:szCs w:val="20"/>
        </w:rPr>
        <w:t>V</w:t>
      </w:r>
      <w:r w:rsidRPr="00BC28E5">
        <w:rPr>
          <w:rFonts w:ascii="Times New Roman" w:hAnsi="Times New Roman" w:cs="Times New Roman"/>
          <w:sz w:val="20"/>
          <w:szCs w:val="20"/>
        </w:rPr>
        <w:t>ariation coefficients of different parameters used for Monte Carlo simulation</w:t>
      </w:r>
      <w:r w:rsidR="00C47511">
        <w:rPr>
          <w:rFonts w:ascii="Times New Roman" w:hAnsi="Times New Roman" w:cs="Times New Roman" w:hint="eastAsia"/>
          <w:sz w:val="20"/>
          <w:szCs w:val="20"/>
        </w:rPr>
        <w:t>.</w:t>
      </w:r>
    </w:p>
    <w:tbl>
      <w:tblPr>
        <w:tblStyle w:val="a3"/>
        <w:tblW w:w="0" w:type="auto"/>
        <w:jc w:val="center"/>
        <w:tblBorders>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1440"/>
        <w:gridCol w:w="180"/>
        <w:gridCol w:w="1170"/>
        <w:gridCol w:w="2970"/>
      </w:tblGrid>
      <w:tr w:rsidR="00863258" w:rsidRPr="00FB43EB" w14:paraId="788A2460" w14:textId="77777777" w:rsidTr="00BC28E5">
        <w:trPr>
          <w:jc w:val="center"/>
        </w:trPr>
        <w:tc>
          <w:tcPr>
            <w:tcW w:w="2880" w:type="dxa"/>
            <w:tcBorders>
              <w:top w:val="single" w:sz="12" w:space="0" w:color="auto"/>
              <w:bottom w:val="single" w:sz="12" w:space="0" w:color="auto"/>
            </w:tcBorders>
          </w:tcPr>
          <w:p w14:paraId="1260339F" w14:textId="77777777" w:rsidR="00863258" w:rsidRPr="00BC28E5" w:rsidRDefault="00863258" w:rsidP="00C9029A">
            <w:pPr>
              <w:ind w:firstLine="400"/>
              <w:jc w:val="center"/>
              <w:rPr>
                <w:rFonts w:ascii="Times New Roman" w:eastAsia="等线" w:hAnsi="Times New Roman" w:cs="Times New Roman"/>
                <w:color w:val="000000" w:themeColor="text1"/>
                <w:sz w:val="20"/>
                <w:szCs w:val="20"/>
              </w:rPr>
            </w:pPr>
            <w:bookmarkStart w:id="6" w:name="_Hlk148047561"/>
            <w:r w:rsidRPr="00BC28E5">
              <w:rPr>
                <w:rFonts w:ascii="Times New Roman" w:eastAsia="等线" w:hAnsi="Times New Roman" w:cs="Times New Roman"/>
                <w:color w:val="000000" w:themeColor="text1"/>
                <w:sz w:val="20"/>
                <w:szCs w:val="20"/>
              </w:rPr>
              <w:t xml:space="preserve">Parameter </w:t>
            </w:r>
          </w:p>
        </w:tc>
        <w:tc>
          <w:tcPr>
            <w:tcW w:w="1620" w:type="dxa"/>
            <w:gridSpan w:val="2"/>
            <w:tcBorders>
              <w:top w:val="single" w:sz="12" w:space="0" w:color="auto"/>
              <w:bottom w:val="single" w:sz="12" w:space="0" w:color="auto"/>
            </w:tcBorders>
          </w:tcPr>
          <w:p w14:paraId="0FA92385" w14:textId="77777777" w:rsidR="00863258" w:rsidRPr="00BC28E5" w:rsidRDefault="00863258" w:rsidP="00BC28E5">
            <w:pPr>
              <w:ind w:firstLine="400"/>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 xml:space="preserve">Symbol </w:t>
            </w:r>
          </w:p>
        </w:tc>
        <w:tc>
          <w:tcPr>
            <w:tcW w:w="1170" w:type="dxa"/>
            <w:tcBorders>
              <w:top w:val="single" w:sz="12" w:space="0" w:color="auto"/>
              <w:bottom w:val="single" w:sz="12" w:space="0" w:color="auto"/>
            </w:tcBorders>
          </w:tcPr>
          <w:p w14:paraId="66C4671A" w14:textId="77777777" w:rsidR="00863258" w:rsidRPr="00BC28E5" w:rsidRDefault="00863258" w:rsidP="00BC28E5">
            <w:pP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Coefficient of variation</w:t>
            </w:r>
          </w:p>
        </w:tc>
        <w:tc>
          <w:tcPr>
            <w:tcW w:w="2970" w:type="dxa"/>
            <w:tcBorders>
              <w:top w:val="single" w:sz="12" w:space="0" w:color="auto"/>
              <w:bottom w:val="single" w:sz="12" w:space="0" w:color="auto"/>
            </w:tcBorders>
          </w:tcPr>
          <w:p w14:paraId="17B43CB8" w14:textId="77777777" w:rsidR="00863258" w:rsidRPr="00BC28E5" w:rsidRDefault="00863258" w:rsidP="00C9029A">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Reference</w:t>
            </w:r>
          </w:p>
        </w:tc>
      </w:tr>
      <w:tr w:rsidR="00863258" w:rsidRPr="00FB43EB" w14:paraId="4BF62F51" w14:textId="77777777" w:rsidTr="00BC28E5">
        <w:trPr>
          <w:jc w:val="center"/>
        </w:trPr>
        <w:tc>
          <w:tcPr>
            <w:tcW w:w="2880" w:type="dxa"/>
            <w:tcBorders>
              <w:top w:val="nil"/>
              <w:bottom w:val="nil"/>
            </w:tcBorders>
          </w:tcPr>
          <w:p w14:paraId="66A2664B"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Primary Ga production</w:t>
            </w:r>
          </w:p>
        </w:tc>
        <w:tc>
          <w:tcPr>
            <w:tcW w:w="1440" w:type="dxa"/>
            <w:tcBorders>
              <w:top w:val="nil"/>
              <w:bottom w:val="nil"/>
            </w:tcBorders>
          </w:tcPr>
          <w:p w14:paraId="7F3B28FA"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m:oMathPara>
              <m:oMath>
                <m:r>
                  <w:rPr>
                    <w:rFonts w:ascii="Cambria Math" w:eastAsia="等线" w:hAnsi="Cambria Math" w:cs="Times New Roman"/>
                    <w:color w:val="000000" w:themeColor="text1"/>
                  </w:rPr>
                  <m:t>Y</m:t>
                </m:r>
              </m:oMath>
            </m:oMathPara>
          </w:p>
        </w:tc>
        <w:tc>
          <w:tcPr>
            <w:tcW w:w="1350" w:type="dxa"/>
            <w:gridSpan w:val="2"/>
            <w:tcBorders>
              <w:top w:val="nil"/>
              <w:bottom w:val="nil"/>
            </w:tcBorders>
          </w:tcPr>
          <w:p w14:paraId="1BA007F1"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5%</w:t>
            </w:r>
          </w:p>
        </w:tc>
        <w:tc>
          <w:tcPr>
            <w:tcW w:w="2970" w:type="dxa"/>
            <w:tcBorders>
              <w:top w:val="nil"/>
              <w:bottom w:val="nil"/>
            </w:tcBorders>
          </w:tcPr>
          <w:p w14:paraId="655D6B9C" w14:textId="6DB1A6FA"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(USGS National Minerals Information Center, 200</w:t>
            </w:r>
            <w:r w:rsidR="00040402">
              <w:rPr>
                <w:rFonts w:ascii="Times New Roman" w:eastAsia="等线" w:hAnsi="Times New Roman" w:cs="Times New Roman"/>
                <w:color w:val="000000" w:themeColor="text1"/>
                <w:sz w:val="20"/>
                <w:szCs w:val="20"/>
              </w:rPr>
              <w:t>1</w:t>
            </w:r>
            <w:r w:rsidRPr="00BC28E5">
              <w:rPr>
                <w:rFonts w:ascii="Times New Roman" w:eastAsia="等线" w:hAnsi="Times New Roman" w:cs="Times New Roman"/>
                <w:color w:val="000000" w:themeColor="text1"/>
                <w:sz w:val="20"/>
                <w:szCs w:val="20"/>
              </w:rPr>
              <w:t>-202</w:t>
            </w:r>
            <w:r w:rsidR="00040402">
              <w:rPr>
                <w:rFonts w:ascii="Times New Roman" w:eastAsia="等线" w:hAnsi="Times New Roman" w:cs="Times New Roman"/>
                <w:color w:val="000000" w:themeColor="text1"/>
                <w:sz w:val="20"/>
                <w:szCs w:val="20"/>
              </w:rPr>
              <w:t>3</w:t>
            </w:r>
            <w:r w:rsidRPr="00BC28E5">
              <w:rPr>
                <w:rFonts w:ascii="Times New Roman" w:eastAsia="等线" w:hAnsi="Times New Roman" w:cs="Times New Roman"/>
                <w:color w:val="000000" w:themeColor="text1"/>
                <w:sz w:val="20"/>
                <w:szCs w:val="20"/>
              </w:rPr>
              <w:t>)</w:t>
            </w:r>
          </w:p>
        </w:tc>
      </w:tr>
      <w:tr w:rsidR="00863258" w:rsidRPr="00FB43EB" w14:paraId="5135D50F" w14:textId="77777777" w:rsidTr="00BC28E5">
        <w:trPr>
          <w:jc w:val="center"/>
        </w:trPr>
        <w:tc>
          <w:tcPr>
            <w:tcW w:w="2880" w:type="dxa"/>
            <w:tcBorders>
              <w:top w:val="nil"/>
              <w:bottom w:val="nil"/>
            </w:tcBorders>
          </w:tcPr>
          <w:p w14:paraId="3E8202A1"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Share of Ga production from aluminum route</w:t>
            </w:r>
          </w:p>
        </w:tc>
        <w:tc>
          <w:tcPr>
            <w:tcW w:w="1440" w:type="dxa"/>
            <w:tcBorders>
              <w:top w:val="nil"/>
              <w:bottom w:val="nil"/>
            </w:tcBorders>
          </w:tcPr>
          <w:p w14:paraId="1CABA9EA"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m:oMathPara>
              <m:oMath>
                <m:r>
                  <w:rPr>
                    <w:rFonts w:ascii="Cambria Math" w:eastAsia="等线" w:hAnsi="Cambria Math" w:cs="Times New Roman"/>
                    <w:color w:val="000000" w:themeColor="text1"/>
                  </w:rPr>
                  <m:t>a</m:t>
                </m:r>
              </m:oMath>
            </m:oMathPara>
          </w:p>
        </w:tc>
        <w:tc>
          <w:tcPr>
            <w:tcW w:w="1350" w:type="dxa"/>
            <w:gridSpan w:val="2"/>
            <w:tcBorders>
              <w:top w:val="nil"/>
              <w:bottom w:val="nil"/>
            </w:tcBorders>
          </w:tcPr>
          <w:p w14:paraId="00A23E2B"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5%</w:t>
            </w:r>
          </w:p>
        </w:tc>
        <w:tc>
          <w:tcPr>
            <w:tcW w:w="2970" w:type="dxa"/>
            <w:tcBorders>
              <w:top w:val="nil"/>
              <w:bottom w:val="nil"/>
            </w:tcBorders>
          </w:tcPr>
          <w:p w14:paraId="6B37A806" w14:textId="39D30B5F"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(USGS National Minerals Information Center, 200</w:t>
            </w:r>
            <w:r w:rsidR="00040402">
              <w:rPr>
                <w:rFonts w:ascii="Times New Roman" w:eastAsia="等线" w:hAnsi="Times New Roman" w:cs="Times New Roman"/>
                <w:color w:val="000000" w:themeColor="text1"/>
                <w:sz w:val="20"/>
                <w:szCs w:val="20"/>
              </w:rPr>
              <w:t>1</w:t>
            </w:r>
            <w:r w:rsidRPr="00BC28E5">
              <w:rPr>
                <w:rFonts w:ascii="Times New Roman" w:eastAsia="等线" w:hAnsi="Times New Roman" w:cs="Times New Roman"/>
                <w:color w:val="000000" w:themeColor="text1"/>
                <w:sz w:val="20"/>
                <w:szCs w:val="20"/>
              </w:rPr>
              <w:t>-202</w:t>
            </w:r>
            <w:r w:rsidR="00040402">
              <w:rPr>
                <w:rFonts w:ascii="Times New Roman" w:eastAsia="等线" w:hAnsi="Times New Roman" w:cs="Times New Roman"/>
                <w:color w:val="000000" w:themeColor="text1"/>
                <w:sz w:val="20"/>
                <w:szCs w:val="20"/>
              </w:rPr>
              <w:t>3</w:t>
            </w:r>
            <w:r w:rsidRPr="00BC28E5">
              <w:rPr>
                <w:rFonts w:ascii="Times New Roman" w:eastAsia="等线" w:hAnsi="Times New Roman" w:cs="Times New Roman"/>
                <w:color w:val="000000" w:themeColor="text1"/>
                <w:sz w:val="20"/>
                <w:szCs w:val="20"/>
              </w:rPr>
              <w:t>)</w:t>
            </w:r>
          </w:p>
        </w:tc>
      </w:tr>
      <w:tr w:rsidR="00863258" w:rsidRPr="00FB43EB" w14:paraId="7C53AD8C" w14:textId="77777777" w:rsidTr="00BC28E5">
        <w:trPr>
          <w:jc w:val="center"/>
        </w:trPr>
        <w:tc>
          <w:tcPr>
            <w:tcW w:w="2880" w:type="dxa"/>
            <w:tcBorders>
              <w:top w:val="nil"/>
              <w:bottom w:val="nil"/>
            </w:tcBorders>
          </w:tcPr>
          <w:p w14:paraId="193B6E9A"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Ga concentration in bauxite/zinc ores</w:t>
            </w:r>
          </w:p>
        </w:tc>
        <w:tc>
          <w:tcPr>
            <w:tcW w:w="1440" w:type="dxa"/>
            <w:tcBorders>
              <w:top w:val="nil"/>
              <w:bottom w:val="nil"/>
            </w:tcBorders>
          </w:tcPr>
          <w:p w14:paraId="180ECEBB" w14:textId="77777777" w:rsidR="00863258" w:rsidRPr="00BC28E5" w:rsidRDefault="00863258" w:rsidP="00C47511">
            <w:pPr>
              <w:ind w:firstLine="400"/>
              <w:jc w:val="center"/>
              <w:rPr>
                <w:rFonts w:ascii="Times New Roman" w:eastAsia="等线" w:hAnsi="Times New Roman" w:cs="Times New Roman"/>
                <w:color w:val="000000" w:themeColor="text1"/>
              </w:rPr>
            </w:pPr>
            <w:r w:rsidRPr="00BC28E5">
              <w:rPr>
                <w:rFonts w:ascii="Times New Roman" w:eastAsia="等线" w:hAnsi="Times New Roman" w:cs="Times New Roman"/>
                <w:color w:val="000000" w:themeColor="text1"/>
                <w:sz w:val="20"/>
                <w:szCs w:val="20"/>
              </w:rPr>
              <w:t>/</w:t>
            </w:r>
          </w:p>
        </w:tc>
        <w:tc>
          <w:tcPr>
            <w:tcW w:w="1350" w:type="dxa"/>
            <w:gridSpan w:val="2"/>
            <w:tcBorders>
              <w:top w:val="nil"/>
              <w:bottom w:val="nil"/>
            </w:tcBorders>
          </w:tcPr>
          <w:p w14:paraId="0B1DAC09"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10%</w:t>
            </w:r>
          </w:p>
        </w:tc>
        <w:tc>
          <w:tcPr>
            <w:tcW w:w="2970" w:type="dxa"/>
            <w:tcBorders>
              <w:top w:val="nil"/>
              <w:bottom w:val="nil"/>
            </w:tcBorders>
          </w:tcPr>
          <w:p w14:paraId="0C5D8F6B"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(Løvik et al., 2015; Lu et al., 2017)</w:t>
            </w:r>
          </w:p>
        </w:tc>
      </w:tr>
      <w:tr w:rsidR="00863258" w:rsidRPr="00FB43EB" w14:paraId="7020C0CA" w14:textId="77777777" w:rsidTr="00BC28E5">
        <w:trPr>
          <w:jc w:val="center"/>
        </w:trPr>
        <w:tc>
          <w:tcPr>
            <w:tcW w:w="2880" w:type="dxa"/>
            <w:tcBorders>
              <w:top w:val="nil"/>
              <w:bottom w:val="nil"/>
            </w:tcBorders>
          </w:tcPr>
          <w:p w14:paraId="3135BE1C"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Yield in gallium recovery from Bayer liquor</w:t>
            </w:r>
          </w:p>
        </w:tc>
        <w:tc>
          <w:tcPr>
            <w:tcW w:w="1440" w:type="dxa"/>
            <w:tcBorders>
              <w:top w:val="nil"/>
              <w:bottom w:val="nil"/>
            </w:tcBorders>
          </w:tcPr>
          <w:p w14:paraId="75CB0186" w14:textId="77777777" w:rsidR="00863258" w:rsidRPr="00BC28E5" w:rsidRDefault="00000000" w:rsidP="00C47511">
            <w:pPr>
              <w:ind w:firstLine="400"/>
              <w:jc w:val="center"/>
              <w:rPr>
                <w:rFonts w:ascii="Times New Roman" w:eastAsia="等线" w:hAnsi="Times New Roman" w:cs="Times New Roman"/>
                <w:color w:val="000000" w:themeColor="text1"/>
                <w:sz w:val="20"/>
                <w:szCs w:val="20"/>
              </w:rPr>
            </w:pPr>
            <m:oMathPara>
              <m:oMath>
                <m:sSub>
                  <m:sSubPr>
                    <m:ctrlPr>
                      <w:rPr>
                        <w:rFonts w:ascii="Cambria Math" w:eastAsia="等线" w:hAnsi="Cambria Math" w:cs="Times New Roman"/>
                        <w:i/>
                        <w:color w:val="000000" w:themeColor="text1"/>
                      </w:rPr>
                    </m:ctrlPr>
                  </m:sSubPr>
                  <m:e>
                    <m:r>
                      <w:rPr>
                        <w:rFonts w:ascii="Cambria Math" w:eastAsia="等线" w:hAnsi="Cambria Math" w:cs="Times New Roman"/>
                        <w:color w:val="000000" w:themeColor="text1"/>
                      </w:rPr>
                      <m:t>y</m:t>
                    </m:r>
                  </m:e>
                  <m:sub>
                    <m:r>
                      <w:rPr>
                        <w:rFonts w:ascii="Cambria Math" w:eastAsia="等线" w:hAnsi="Cambria Math" w:cs="Times New Roman"/>
                        <w:color w:val="000000" w:themeColor="text1"/>
                      </w:rPr>
                      <m:t>1</m:t>
                    </m:r>
                  </m:sub>
                </m:sSub>
              </m:oMath>
            </m:oMathPara>
          </w:p>
        </w:tc>
        <w:tc>
          <w:tcPr>
            <w:tcW w:w="1350" w:type="dxa"/>
            <w:gridSpan w:val="2"/>
            <w:tcBorders>
              <w:top w:val="nil"/>
              <w:bottom w:val="nil"/>
            </w:tcBorders>
          </w:tcPr>
          <w:p w14:paraId="08066B38"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10%</w:t>
            </w:r>
          </w:p>
        </w:tc>
        <w:tc>
          <w:tcPr>
            <w:tcW w:w="2970" w:type="dxa"/>
            <w:tcBorders>
              <w:top w:val="nil"/>
              <w:bottom w:val="nil"/>
            </w:tcBorders>
          </w:tcPr>
          <w:p w14:paraId="794BE86E"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(Løvik et al., 2015; Jia et al., 2022)</w:t>
            </w:r>
          </w:p>
        </w:tc>
      </w:tr>
      <w:tr w:rsidR="00863258" w:rsidRPr="00FB43EB" w14:paraId="10E0A40B" w14:textId="77777777" w:rsidTr="00BC28E5">
        <w:trPr>
          <w:jc w:val="center"/>
        </w:trPr>
        <w:tc>
          <w:tcPr>
            <w:tcW w:w="2880" w:type="dxa"/>
            <w:tcBorders>
              <w:top w:val="nil"/>
              <w:bottom w:val="nil"/>
            </w:tcBorders>
          </w:tcPr>
          <w:p w14:paraId="3390F6E6"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Loss rate of zinc route</w:t>
            </w:r>
          </w:p>
        </w:tc>
        <w:tc>
          <w:tcPr>
            <w:tcW w:w="1440" w:type="dxa"/>
            <w:tcBorders>
              <w:top w:val="nil"/>
              <w:bottom w:val="nil"/>
            </w:tcBorders>
          </w:tcPr>
          <w:p w14:paraId="5B5CB696" w14:textId="77777777" w:rsidR="00863258" w:rsidRPr="00BC28E5" w:rsidRDefault="00000000" w:rsidP="00C47511">
            <w:pPr>
              <w:ind w:firstLine="400"/>
              <w:jc w:val="center"/>
              <w:rPr>
                <w:rFonts w:ascii="Times New Roman" w:eastAsia="等线" w:hAnsi="Times New Roman" w:cs="Times New Roman"/>
                <w:i/>
                <w:iCs/>
                <w:color w:val="000000" w:themeColor="text1"/>
              </w:rPr>
            </w:pPr>
            <m:oMathPara>
              <m:oMath>
                <m:sSub>
                  <m:sSubPr>
                    <m:ctrlPr>
                      <w:rPr>
                        <w:rFonts w:ascii="Cambria Math" w:eastAsia="等线" w:hAnsi="Cambria Math" w:cs="Times New Roman"/>
                        <w:i/>
                        <w:color w:val="000000" w:themeColor="text1"/>
                      </w:rPr>
                    </m:ctrlPr>
                  </m:sSubPr>
                  <m:e>
                    <m:r>
                      <w:rPr>
                        <w:rFonts w:ascii="Cambria Math" w:eastAsia="等线" w:hAnsi="Cambria Math" w:cs="Times New Roman"/>
                        <w:color w:val="000000" w:themeColor="text1"/>
                      </w:rPr>
                      <m:t>y</m:t>
                    </m:r>
                  </m:e>
                  <m:sub>
                    <m:r>
                      <w:rPr>
                        <w:rFonts w:ascii="Cambria Math" w:eastAsia="等线" w:hAnsi="Cambria Math" w:cs="Times New Roman"/>
                        <w:color w:val="000000" w:themeColor="text1"/>
                      </w:rPr>
                      <m:t>2</m:t>
                    </m:r>
                  </m:sub>
                </m:sSub>
              </m:oMath>
            </m:oMathPara>
          </w:p>
        </w:tc>
        <w:tc>
          <w:tcPr>
            <w:tcW w:w="1350" w:type="dxa"/>
            <w:gridSpan w:val="2"/>
            <w:tcBorders>
              <w:top w:val="nil"/>
              <w:bottom w:val="nil"/>
            </w:tcBorders>
          </w:tcPr>
          <w:p w14:paraId="0ED57AF4"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10%</w:t>
            </w:r>
          </w:p>
        </w:tc>
        <w:tc>
          <w:tcPr>
            <w:tcW w:w="2970" w:type="dxa"/>
            <w:tcBorders>
              <w:top w:val="nil"/>
              <w:bottom w:val="nil"/>
            </w:tcBorders>
          </w:tcPr>
          <w:p w14:paraId="2EDA89AE"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(Løvik et al., 2015; Licht et al., 2015)</w:t>
            </w:r>
          </w:p>
        </w:tc>
      </w:tr>
      <w:tr w:rsidR="00863258" w:rsidRPr="00FB43EB" w14:paraId="6F457788" w14:textId="77777777" w:rsidTr="00BC28E5">
        <w:trPr>
          <w:jc w:val="center"/>
        </w:trPr>
        <w:tc>
          <w:tcPr>
            <w:tcW w:w="2880" w:type="dxa"/>
            <w:tcBorders>
              <w:top w:val="nil"/>
              <w:bottom w:val="nil"/>
            </w:tcBorders>
          </w:tcPr>
          <w:p w14:paraId="1501E695"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Fraction of Ga in bauxite going to red mud</w:t>
            </w:r>
          </w:p>
        </w:tc>
        <w:tc>
          <w:tcPr>
            <w:tcW w:w="1440" w:type="dxa"/>
            <w:tcBorders>
              <w:top w:val="nil"/>
              <w:bottom w:val="nil"/>
            </w:tcBorders>
          </w:tcPr>
          <w:p w14:paraId="04F79888" w14:textId="142EBB6E" w:rsidR="00863258" w:rsidRPr="00BC28E5" w:rsidRDefault="00C47511" w:rsidP="00BC28E5">
            <w:pPr>
              <w:ind w:firstLine="400"/>
              <w:rPr>
                <w:rFonts w:ascii="Times New Roman" w:eastAsia="等线" w:hAnsi="Times New Roman" w:cs="Times New Roman"/>
                <w:color w:val="000000" w:themeColor="text1"/>
                <w:sz w:val="20"/>
                <w:szCs w:val="20"/>
              </w:rPr>
            </w:pPr>
            <w:r>
              <w:rPr>
                <w:rFonts w:ascii="Times New Roman" w:eastAsia="等线" w:hAnsi="Times New Roman" w:cs="Times New Roman"/>
                <w:i/>
                <w:iCs/>
                <w:color w:val="000000" w:themeColor="text1"/>
              </w:rPr>
              <w:t xml:space="preserve">  </w:t>
            </w:r>
            <w:r w:rsidR="00863258" w:rsidRPr="00BC28E5">
              <w:rPr>
                <w:rFonts w:ascii="Times New Roman" w:eastAsia="等线" w:hAnsi="Times New Roman" w:cs="Times New Roman"/>
                <w:i/>
                <w:iCs/>
                <w:color w:val="000000" w:themeColor="text1"/>
              </w:rPr>
              <w:t>k</w:t>
            </w:r>
          </w:p>
        </w:tc>
        <w:tc>
          <w:tcPr>
            <w:tcW w:w="1350" w:type="dxa"/>
            <w:gridSpan w:val="2"/>
            <w:tcBorders>
              <w:top w:val="nil"/>
              <w:bottom w:val="nil"/>
            </w:tcBorders>
          </w:tcPr>
          <w:p w14:paraId="29A347F0"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10%</w:t>
            </w:r>
          </w:p>
        </w:tc>
        <w:tc>
          <w:tcPr>
            <w:tcW w:w="2970" w:type="dxa"/>
            <w:tcBorders>
              <w:top w:val="nil"/>
              <w:bottom w:val="nil"/>
            </w:tcBorders>
          </w:tcPr>
          <w:p w14:paraId="780B944E"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(Løvik et al., 2015; Jia et al., 2022; Licht et al., 2015)</w:t>
            </w:r>
          </w:p>
        </w:tc>
      </w:tr>
      <w:tr w:rsidR="00863258" w:rsidRPr="00FB43EB" w14:paraId="7BF1CC97" w14:textId="77777777" w:rsidTr="00BC28E5">
        <w:trPr>
          <w:jc w:val="center"/>
        </w:trPr>
        <w:tc>
          <w:tcPr>
            <w:tcW w:w="2880" w:type="dxa"/>
            <w:tcBorders>
              <w:top w:val="nil"/>
              <w:bottom w:val="nil"/>
            </w:tcBorders>
          </w:tcPr>
          <w:p w14:paraId="57079EB5"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Fraction of dissolved Ga going to alumina</w:t>
            </w:r>
          </w:p>
        </w:tc>
        <w:tc>
          <w:tcPr>
            <w:tcW w:w="1440" w:type="dxa"/>
            <w:tcBorders>
              <w:top w:val="nil"/>
              <w:bottom w:val="nil"/>
            </w:tcBorders>
          </w:tcPr>
          <w:p w14:paraId="5A605ACC" w14:textId="77777777" w:rsidR="00863258" w:rsidRPr="00BC28E5" w:rsidRDefault="00863258" w:rsidP="00C47511">
            <w:pPr>
              <w:ind w:firstLine="400"/>
              <w:jc w:val="center"/>
              <w:rPr>
                <w:rFonts w:ascii="Times New Roman" w:eastAsia="等线" w:hAnsi="Times New Roman" w:cs="Times New Roman"/>
                <w:i/>
                <w:iCs/>
                <w:color w:val="000000" w:themeColor="text1"/>
              </w:rPr>
            </w:pPr>
            <m:oMathPara>
              <m:oMath>
                <m:r>
                  <w:rPr>
                    <w:rFonts w:ascii="Cambria Math" w:eastAsia="等线" w:hAnsi="Cambria Math" w:cs="Times New Roman"/>
                    <w:color w:val="000000" w:themeColor="text1"/>
                  </w:rPr>
                  <m:t>l</m:t>
                </m:r>
              </m:oMath>
            </m:oMathPara>
          </w:p>
        </w:tc>
        <w:tc>
          <w:tcPr>
            <w:tcW w:w="1350" w:type="dxa"/>
            <w:gridSpan w:val="2"/>
            <w:tcBorders>
              <w:top w:val="nil"/>
              <w:bottom w:val="nil"/>
            </w:tcBorders>
          </w:tcPr>
          <w:p w14:paraId="3D88242B"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10%</w:t>
            </w:r>
          </w:p>
        </w:tc>
        <w:tc>
          <w:tcPr>
            <w:tcW w:w="2970" w:type="dxa"/>
            <w:tcBorders>
              <w:top w:val="nil"/>
              <w:bottom w:val="nil"/>
            </w:tcBorders>
          </w:tcPr>
          <w:p w14:paraId="2AE05A37"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(Løvik et al., 2015; Jia et al., 2022; Licht et al., 2015)</w:t>
            </w:r>
          </w:p>
        </w:tc>
      </w:tr>
      <w:tr w:rsidR="00863258" w:rsidRPr="00FB43EB" w14:paraId="253A0029" w14:textId="77777777" w:rsidTr="00BC28E5">
        <w:trPr>
          <w:jc w:val="center"/>
        </w:trPr>
        <w:tc>
          <w:tcPr>
            <w:tcW w:w="2880" w:type="dxa"/>
            <w:tcBorders>
              <w:top w:val="nil"/>
              <w:bottom w:val="nil"/>
            </w:tcBorders>
          </w:tcPr>
          <w:p w14:paraId="0642AA2E"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Material yield rates in fabrication stage</w:t>
            </w:r>
          </w:p>
        </w:tc>
        <w:tc>
          <w:tcPr>
            <w:tcW w:w="1440" w:type="dxa"/>
            <w:tcBorders>
              <w:top w:val="nil"/>
              <w:bottom w:val="nil"/>
            </w:tcBorders>
          </w:tcPr>
          <w:p w14:paraId="46875AC9" w14:textId="77777777" w:rsidR="00863258" w:rsidRPr="00BC28E5" w:rsidRDefault="00000000" w:rsidP="00C47511">
            <w:pPr>
              <w:ind w:firstLine="400"/>
              <w:jc w:val="center"/>
              <w:rPr>
                <w:rFonts w:ascii="Times New Roman" w:eastAsia="等线" w:hAnsi="Times New Roman" w:cs="Times New Roman"/>
                <w:color w:val="000000" w:themeColor="text1"/>
                <w:sz w:val="20"/>
                <w:szCs w:val="20"/>
              </w:rPr>
            </w:pPr>
            <m:oMathPara>
              <m:oMath>
                <m:sSub>
                  <m:sSubPr>
                    <m:ctrlPr>
                      <w:rPr>
                        <w:rFonts w:ascii="Cambria Math" w:eastAsia="等线" w:hAnsi="Cambria Math" w:cs="Times New Roman"/>
                        <w:i/>
                        <w:color w:val="000000" w:themeColor="text1"/>
                      </w:rPr>
                    </m:ctrlPr>
                  </m:sSubPr>
                  <m:e>
                    <m:r>
                      <w:rPr>
                        <w:rFonts w:ascii="Cambria Math" w:eastAsia="等线" w:hAnsi="Cambria Math" w:cs="Times New Roman"/>
                        <w:color w:val="000000" w:themeColor="text1"/>
                      </w:rPr>
                      <m:t>R</m:t>
                    </m:r>
                  </m:e>
                  <m:sub>
                    <m:r>
                      <w:rPr>
                        <w:rFonts w:ascii="Cambria Math" w:eastAsia="等线" w:hAnsi="Cambria Math" w:cs="Times New Roman"/>
                        <w:color w:val="000000" w:themeColor="text1"/>
                      </w:rPr>
                      <m:t>m,j</m:t>
                    </m:r>
                  </m:sub>
                </m:sSub>
              </m:oMath>
            </m:oMathPara>
          </w:p>
        </w:tc>
        <w:tc>
          <w:tcPr>
            <w:tcW w:w="1350" w:type="dxa"/>
            <w:gridSpan w:val="2"/>
            <w:tcBorders>
              <w:top w:val="nil"/>
              <w:bottom w:val="nil"/>
            </w:tcBorders>
          </w:tcPr>
          <w:p w14:paraId="51B2B413"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10%</w:t>
            </w:r>
          </w:p>
        </w:tc>
        <w:tc>
          <w:tcPr>
            <w:tcW w:w="2970" w:type="dxa"/>
            <w:tcBorders>
              <w:top w:val="nil"/>
              <w:bottom w:val="nil"/>
            </w:tcBorders>
          </w:tcPr>
          <w:p w14:paraId="4FB31BB0"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(Løvik et al., 2015; Jia et al., 2022; Licht et al., 2015; Meylan et al., 2017)</w:t>
            </w:r>
          </w:p>
        </w:tc>
      </w:tr>
      <w:tr w:rsidR="00863258" w:rsidRPr="00FB43EB" w14:paraId="6ADA2AFE" w14:textId="77777777" w:rsidTr="00BC28E5">
        <w:trPr>
          <w:jc w:val="center"/>
        </w:trPr>
        <w:tc>
          <w:tcPr>
            <w:tcW w:w="2880" w:type="dxa"/>
            <w:tcBorders>
              <w:top w:val="nil"/>
              <w:bottom w:val="nil"/>
            </w:tcBorders>
          </w:tcPr>
          <w:p w14:paraId="3D24FAD6"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Collection rates of new scraps from fabrication</w:t>
            </w:r>
          </w:p>
        </w:tc>
        <w:tc>
          <w:tcPr>
            <w:tcW w:w="1440" w:type="dxa"/>
            <w:tcBorders>
              <w:top w:val="nil"/>
              <w:bottom w:val="nil"/>
            </w:tcBorders>
          </w:tcPr>
          <w:p w14:paraId="4EB7CAB1" w14:textId="77777777" w:rsidR="00863258" w:rsidRPr="00BC28E5" w:rsidRDefault="00000000" w:rsidP="00C47511">
            <w:pPr>
              <w:ind w:firstLine="400"/>
              <w:jc w:val="center"/>
              <w:rPr>
                <w:rFonts w:ascii="Times New Roman" w:eastAsia="等线" w:hAnsi="Times New Roman" w:cs="Times New Roman"/>
                <w:color w:val="000000" w:themeColor="text1"/>
                <w:sz w:val="20"/>
                <w:szCs w:val="20"/>
              </w:rPr>
            </w:pPr>
            <m:oMathPara>
              <m:oMath>
                <m:sSub>
                  <m:sSubPr>
                    <m:ctrlPr>
                      <w:rPr>
                        <w:rFonts w:ascii="Cambria Math" w:eastAsia="等线" w:hAnsi="Cambria Math" w:cs="Times New Roman"/>
                        <w:i/>
                        <w:color w:val="000000" w:themeColor="text1"/>
                      </w:rPr>
                    </m:ctrlPr>
                  </m:sSubPr>
                  <m:e>
                    <m:r>
                      <w:rPr>
                        <w:rFonts w:ascii="Cambria Math" w:eastAsia="等线" w:hAnsi="Cambria Math" w:cs="Times New Roman"/>
                        <w:color w:val="000000" w:themeColor="text1"/>
                      </w:rPr>
                      <m:t>w</m:t>
                    </m:r>
                  </m:e>
                  <m:sub>
                    <m:r>
                      <w:rPr>
                        <w:rFonts w:ascii="Cambria Math" w:eastAsia="等线" w:hAnsi="Cambria Math" w:cs="Times New Roman"/>
                        <w:color w:val="000000" w:themeColor="text1"/>
                      </w:rPr>
                      <m:t>3-m,j</m:t>
                    </m:r>
                  </m:sub>
                </m:sSub>
              </m:oMath>
            </m:oMathPara>
          </w:p>
        </w:tc>
        <w:tc>
          <w:tcPr>
            <w:tcW w:w="1350" w:type="dxa"/>
            <w:gridSpan w:val="2"/>
            <w:tcBorders>
              <w:top w:val="nil"/>
              <w:bottom w:val="nil"/>
            </w:tcBorders>
          </w:tcPr>
          <w:p w14:paraId="7BE7D82A"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10%</w:t>
            </w:r>
          </w:p>
        </w:tc>
        <w:tc>
          <w:tcPr>
            <w:tcW w:w="2970" w:type="dxa"/>
            <w:tcBorders>
              <w:top w:val="nil"/>
              <w:bottom w:val="nil"/>
            </w:tcBorders>
          </w:tcPr>
          <w:p w14:paraId="085CCABB"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(Løvik et al., 2015; Jia et al., 2022)</w:t>
            </w:r>
          </w:p>
        </w:tc>
      </w:tr>
      <w:tr w:rsidR="00863258" w:rsidRPr="00FB43EB" w14:paraId="19756E29" w14:textId="77777777" w:rsidTr="00BC28E5">
        <w:trPr>
          <w:jc w:val="center"/>
        </w:trPr>
        <w:tc>
          <w:tcPr>
            <w:tcW w:w="2880" w:type="dxa"/>
            <w:tcBorders>
              <w:top w:val="nil"/>
              <w:bottom w:val="single" w:sz="12" w:space="0" w:color="auto"/>
            </w:tcBorders>
          </w:tcPr>
          <w:p w14:paraId="4EB041EB"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Market shares of different Ga-containing applications</w:t>
            </w:r>
          </w:p>
        </w:tc>
        <w:tc>
          <w:tcPr>
            <w:tcW w:w="1440" w:type="dxa"/>
            <w:tcBorders>
              <w:top w:val="nil"/>
              <w:bottom w:val="single" w:sz="12" w:space="0" w:color="auto"/>
            </w:tcBorders>
          </w:tcPr>
          <w:p w14:paraId="5ADDA0B9" w14:textId="77777777" w:rsidR="00863258" w:rsidRPr="00BC28E5" w:rsidRDefault="00000000" w:rsidP="00C47511">
            <w:pPr>
              <w:ind w:firstLine="400"/>
              <w:jc w:val="center"/>
              <w:rPr>
                <w:rFonts w:ascii="Times New Roman" w:eastAsia="等线" w:hAnsi="Times New Roman" w:cs="Times New Roman"/>
                <w:color w:val="000000" w:themeColor="text1"/>
              </w:rPr>
            </w:pPr>
            <m:oMathPara>
              <m:oMath>
                <m:sSub>
                  <m:sSubPr>
                    <m:ctrlPr>
                      <w:rPr>
                        <w:rFonts w:ascii="Cambria Math" w:eastAsia="等线" w:hAnsi="Cambria Math" w:cs="Times New Roman"/>
                        <w:i/>
                        <w:color w:val="000000" w:themeColor="text1"/>
                      </w:rPr>
                    </m:ctrlPr>
                  </m:sSubPr>
                  <m:e>
                    <m:r>
                      <w:rPr>
                        <w:rFonts w:ascii="Cambria Math" w:eastAsia="等线" w:hAnsi="Cambria Math" w:cs="Times New Roman"/>
                        <w:color w:val="000000" w:themeColor="text1"/>
                      </w:rPr>
                      <m:t>P</m:t>
                    </m:r>
                  </m:e>
                  <m:sub>
                    <m:r>
                      <w:rPr>
                        <w:rFonts w:ascii="Cambria Math" w:eastAsia="等线" w:hAnsi="Cambria Math" w:cs="Times New Roman"/>
                        <w:color w:val="000000" w:themeColor="text1"/>
                      </w:rPr>
                      <m:t>m,j</m:t>
                    </m:r>
                  </m:sub>
                </m:sSub>
              </m:oMath>
            </m:oMathPara>
          </w:p>
        </w:tc>
        <w:tc>
          <w:tcPr>
            <w:tcW w:w="1350" w:type="dxa"/>
            <w:gridSpan w:val="2"/>
            <w:tcBorders>
              <w:top w:val="nil"/>
              <w:bottom w:val="single" w:sz="12" w:space="0" w:color="auto"/>
            </w:tcBorders>
          </w:tcPr>
          <w:p w14:paraId="036BB692"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20%</w:t>
            </w:r>
          </w:p>
        </w:tc>
        <w:tc>
          <w:tcPr>
            <w:tcW w:w="2970" w:type="dxa"/>
            <w:tcBorders>
              <w:top w:val="nil"/>
              <w:bottom w:val="single" w:sz="12" w:space="0" w:color="auto"/>
            </w:tcBorders>
          </w:tcPr>
          <w:p w14:paraId="5647BEF4" w14:textId="77777777" w:rsidR="00863258" w:rsidRPr="00BC28E5" w:rsidRDefault="00863258" w:rsidP="00C47511">
            <w:pPr>
              <w:ind w:firstLine="400"/>
              <w:jc w:val="center"/>
              <w:rPr>
                <w:rFonts w:ascii="Times New Roman" w:eastAsia="等线" w:hAnsi="Times New Roman" w:cs="Times New Roman"/>
                <w:color w:val="000000" w:themeColor="text1"/>
                <w:sz w:val="20"/>
                <w:szCs w:val="20"/>
              </w:rPr>
            </w:pPr>
            <w:r w:rsidRPr="00BC28E5">
              <w:rPr>
                <w:rFonts w:ascii="Times New Roman" w:eastAsia="等线" w:hAnsi="Times New Roman" w:cs="Times New Roman"/>
                <w:color w:val="000000" w:themeColor="text1"/>
                <w:sz w:val="20"/>
                <w:szCs w:val="20"/>
              </w:rPr>
              <w:t>(Licht et al., 2015; CBC Metal, 2022; Eheliyagoda et al., 2019)</w:t>
            </w:r>
          </w:p>
        </w:tc>
      </w:tr>
    </w:tbl>
    <w:bookmarkEnd w:id="6"/>
    <w:p w14:paraId="7C00877B" w14:textId="529E736E" w:rsidR="0071586A" w:rsidRDefault="00863258" w:rsidP="00834C9D">
      <w:pPr>
        <w:jc w:val="center"/>
        <w:rPr>
          <w:rFonts w:ascii="Times New Roman" w:hAnsi="Times New Roman" w:cs="Times New Roman"/>
          <w:bCs/>
          <w:color w:val="000000"/>
          <w:sz w:val="24"/>
          <w:szCs w:val="24"/>
        </w:rPr>
      </w:pPr>
      <w:r w:rsidRPr="00A51D8E" w:rsidDel="007A763F">
        <w:rPr>
          <w:rFonts w:ascii="Times New Roman" w:hAnsi="Times New Roman" w:cs="Times New Roman"/>
          <w:sz w:val="20"/>
          <w:szCs w:val="20"/>
        </w:rPr>
        <w:t xml:space="preserve"> </w:t>
      </w:r>
      <w:bookmarkEnd w:id="5"/>
    </w:p>
    <w:p w14:paraId="76BA2873" w14:textId="46A877D8" w:rsidR="006A757C" w:rsidRDefault="006A757C" w:rsidP="00834C9D">
      <w:pPr>
        <w:jc w:val="center"/>
        <w:rPr>
          <w:rFonts w:ascii="Times New Roman" w:hAnsi="Times New Roman" w:cs="Times New Roman"/>
          <w:bCs/>
          <w:color w:val="000000"/>
          <w:sz w:val="24"/>
          <w:szCs w:val="24"/>
        </w:rPr>
      </w:pPr>
      <w:r>
        <w:rPr>
          <w:rFonts w:ascii="Times New Roman" w:hAnsi="Times New Roman" w:cs="Times New Roman"/>
          <w:bCs/>
          <w:noProof/>
          <w:color w:val="000000"/>
          <w:sz w:val="24"/>
          <w:szCs w:val="24"/>
        </w:rPr>
        <w:lastRenderedPageBreak/>
        <w:drawing>
          <wp:inline distT="0" distB="0" distL="0" distR="0" wp14:anchorId="0279D217" wp14:editId="6B92E350">
            <wp:extent cx="5486400" cy="40722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extLst>
                        <a:ext uri="{28A0092B-C50C-407E-A947-70E740481C1C}">
                          <a14:useLocalDpi xmlns:a14="http://schemas.microsoft.com/office/drawing/2010/main" val="0"/>
                        </a:ext>
                      </a:extLst>
                    </a:blip>
                    <a:stretch>
                      <a:fillRect/>
                    </a:stretch>
                  </pic:blipFill>
                  <pic:spPr>
                    <a:xfrm>
                      <a:off x="0" y="0"/>
                      <a:ext cx="5486400" cy="4072255"/>
                    </a:xfrm>
                    <a:prstGeom prst="rect">
                      <a:avLst/>
                    </a:prstGeom>
                  </pic:spPr>
                </pic:pic>
              </a:graphicData>
            </a:graphic>
          </wp:inline>
        </w:drawing>
      </w:r>
    </w:p>
    <w:p w14:paraId="480A6BD1" w14:textId="54A765D5" w:rsidR="006A757C" w:rsidRDefault="006A757C" w:rsidP="00834C9D">
      <w:pPr>
        <w:jc w:val="center"/>
        <w:rPr>
          <w:rFonts w:ascii="Times New Roman" w:hAnsi="Times New Roman" w:cs="Times New Roman"/>
          <w:sz w:val="20"/>
          <w:szCs w:val="20"/>
        </w:rPr>
      </w:pPr>
      <w:r w:rsidRPr="00BC28E5">
        <w:rPr>
          <w:rFonts w:ascii="Times New Roman" w:hAnsi="Times New Roman" w:cs="Times New Roman"/>
          <w:b/>
          <w:bCs/>
          <w:sz w:val="20"/>
          <w:szCs w:val="20"/>
        </w:rPr>
        <w:t xml:space="preserve">Figure </w:t>
      </w:r>
      <w:r w:rsidR="00D97435" w:rsidRPr="00BC28E5">
        <w:rPr>
          <w:rFonts w:ascii="Times New Roman" w:hAnsi="Times New Roman" w:cs="Times New Roman"/>
          <w:b/>
          <w:bCs/>
          <w:sz w:val="20"/>
          <w:szCs w:val="20"/>
        </w:rPr>
        <w:t>A1</w:t>
      </w:r>
      <w:r w:rsidRPr="00BC28E5">
        <w:rPr>
          <w:rFonts w:ascii="Times New Roman" w:hAnsi="Times New Roman" w:cs="Times New Roman"/>
          <w:sz w:val="20"/>
          <w:szCs w:val="20"/>
        </w:rPr>
        <w:t>. The accumulated trade-linked global Ga flows for (a) 2000-2010 and (b) 2010-2020.</w:t>
      </w:r>
      <w:r w:rsidRPr="00BC28E5">
        <w:rPr>
          <w:sz w:val="20"/>
          <w:szCs w:val="20"/>
        </w:rPr>
        <w:t xml:space="preserve"> </w:t>
      </w:r>
      <w:r w:rsidRPr="00BC28E5">
        <w:rPr>
          <w:rFonts w:ascii="Times New Roman" w:hAnsi="Times New Roman" w:cs="Times New Roman"/>
          <w:sz w:val="20"/>
          <w:szCs w:val="20"/>
        </w:rPr>
        <w:t>FC: fabrication, MF: manufacturing, WM: waste management, CHN: China, USA: the Unites States, JPN: Japan, GER: Germany, RoW: rest of the world.</w:t>
      </w:r>
    </w:p>
    <w:p w14:paraId="54C42EFA" w14:textId="77777777" w:rsidR="00C47511" w:rsidRPr="00BC28E5" w:rsidRDefault="00C47511" w:rsidP="00834C9D">
      <w:pPr>
        <w:jc w:val="center"/>
        <w:rPr>
          <w:rFonts w:ascii="Times New Roman" w:hAnsi="Times New Roman" w:cs="Times New Roman"/>
          <w:bCs/>
          <w:color w:val="000000"/>
          <w:sz w:val="20"/>
          <w:szCs w:val="20"/>
        </w:rPr>
      </w:pPr>
    </w:p>
    <w:p w14:paraId="12939C85" w14:textId="77777777" w:rsidR="002B0193" w:rsidRDefault="002B0193" w:rsidP="002B0193">
      <w:pPr>
        <w:pStyle w:val="CitaviBibliographyEntry"/>
      </w:pPr>
      <w:r w:rsidRPr="00267DCB">
        <w:rPr>
          <w:noProof/>
        </w:rPr>
        <w:drawing>
          <wp:inline distT="0" distB="0" distL="0" distR="0" wp14:anchorId="547EBEA1" wp14:editId="1D63F743">
            <wp:extent cx="5486400" cy="27247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724785"/>
                    </a:xfrm>
                    <a:prstGeom prst="rect">
                      <a:avLst/>
                    </a:prstGeom>
                    <a:noFill/>
                    <a:ln>
                      <a:noFill/>
                    </a:ln>
                  </pic:spPr>
                </pic:pic>
              </a:graphicData>
            </a:graphic>
          </wp:inline>
        </w:drawing>
      </w:r>
    </w:p>
    <w:p w14:paraId="43E848D9" w14:textId="0B2B0AC4" w:rsidR="002B0193" w:rsidRPr="00BC28E5" w:rsidRDefault="002B0193" w:rsidP="002B0193">
      <w:pPr>
        <w:pStyle w:val="CitaviBibliographyEntry"/>
        <w:jc w:val="center"/>
        <w:rPr>
          <w:rFonts w:ascii="Times New Roman" w:hAnsi="Times New Roman" w:cs="Times New Roman"/>
          <w:sz w:val="20"/>
          <w:szCs w:val="20"/>
        </w:rPr>
      </w:pPr>
      <w:bookmarkStart w:id="7" w:name="OLE_LINK1"/>
      <w:r w:rsidRPr="00BC28E5">
        <w:rPr>
          <w:rFonts w:ascii="Times New Roman" w:hAnsi="Times New Roman" w:cs="Times New Roman"/>
          <w:b/>
          <w:bCs/>
          <w:sz w:val="20"/>
          <w:szCs w:val="20"/>
        </w:rPr>
        <w:t xml:space="preserve">Figure </w:t>
      </w:r>
      <w:r w:rsidR="00D97435" w:rsidRPr="00BC28E5">
        <w:rPr>
          <w:rFonts w:ascii="Times New Roman" w:hAnsi="Times New Roman" w:cs="Times New Roman"/>
          <w:b/>
          <w:bCs/>
          <w:sz w:val="20"/>
          <w:szCs w:val="20"/>
        </w:rPr>
        <w:t>A2</w:t>
      </w:r>
      <w:r w:rsidRPr="00BC28E5">
        <w:rPr>
          <w:rFonts w:ascii="Times New Roman" w:hAnsi="Times New Roman" w:cs="Times New Roman"/>
          <w:sz w:val="20"/>
          <w:szCs w:val="20"/>
        </w:rPr>
        <w:t>. Dynamics of accumulation of Ga in-use stocks during 2000-2020: (a) world, (b) China, (c) USA, (d) Japan, (e) Germany, and (f) RoW.</w:t>
      </w:r>
    </w:p>
    <w:bookmarkEnd w:id="7"/>
    <w:p w14:paraId="413F7EF4" w14:textId="77777777" w:rsidR="002B0193" w:rsidRDefault="002B0193" w:rsidP="002B0193">
      <w:pPr>
        <w:pStyle w:val="CitaviBibliographyEntry"/>
      </w:pPr>
      <w:r w:rsidRPr="00966DF8">
        <w:rPr>
          <w:noProof/>
        </w:rPr>
        <w:lastRenderedPageBreak/>
        <w:drawing>
          <wp:inline distT="0" distB="0" distL="0" distR="0" wp14:anchorId="1F1197D7" wp14:editId="00FAC610">
            <wp:extent cx="5486400" cy="25717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571750"/>
                    </a:xfrm>
                    <a:prstGeom prst="rect">
                      <a:avLst/>
                    </a:prstGeom>
                    <a:noFill/>
                    <a:ln>
                      <a:noFill/>
                    </a:ln>
                  </pic:spPr>
                </pic:pic>
              </a:graphicData>
            </a:graphic>
          </wp:inline>
        </w:drawing>
      </w:r>
    </w:p>
    <w:p w14:paraId="3BF6337A" w14:textId="424984FC" w:rsidR="002B0193" w:rsidRPr="00BC28E5" w:rsidRDefault="002B0193" w:rsidP="002B0193">
      <w:pPr>
        <w:pStyle w:val="CitaviBibliographyEntry"/>
        <w:jc w:val="center"/>
        <w:rPr>
          <w:rFonts w:ascii="Times New Roman" w:hAnsi="Times New Roman" w:cs="Times New Roman"/>
          <w:sz w:val="20"/>
          <w:szCs w:val="20"/>
        </w:rPr>
      </w:pPr>
      <w:r w:rsidRPr="00BC28E5">
        <w:rPr>
          <w:rFonts w:ascii="Times New Roman" w:hAnsi="Times New Roman" w:cs="Times New Roman"/>
          <w:b/>
          <w:bCs/>
          <w:sz w:val="20"/>
          <w:szCs w:val="20"/>
        </w:rPr>
        <w:t xml:space="preserve">Figure </w:t>
      </w:r>
      <w:r w:rsidR="00D97435" w:rsidRPr="00BC28E5">
        <w:rPr>
          <w:rFonts w:ascii="Times New Roman" w:hAnsi="Times New Roman" w:cs="Times New Roman"/>
          <w:b/>
          <w:bCs/>
          <w:sz w:val="20"/>
          <w:szCs w:val="20"/>
        </w:rPr>
        <w:t>A3</w:t>
      </w:r>
      <w:r w:rsidRPr="00BC28E5">
        <w:rPr>
          <w:rFonts w:ascii="Times New Roman" w:hAnsi="Times New Roman" w:cs="Times New Roman"/>
          <w:sz w:val="20"/>
          <w:szCs w:val="20"/>
        </w:rPr>
        <w:t>. Dynamics of End-of-Life flows during 2000-2020: (a) World, (b) China, (c) USA, (d) Japan, (e) Germany, and (f) RoW.</w:t>
      </w:r>
    </w:p>
    <w:p w14:paraId="6F21AB2E" w14:textId="77777777" w:rsidR="002B0193" w:rsidRPr="00BC28E5" w:rsidRDefault="002B0193" w:rsidP="002B0193">
      <w:pPr>
        <w:pStyle w:val="CitaviBibliographyEntry"/>
        <w:rPr>
          <w:sz w:val="20"/>
          <w:szCs w:val="20"/>
        </w:rPr>
      </w:pPr>
    </w:p>
    <w:p w14:paraId="79B0F812" w14:textId="77777777" w:rsidR="002B0193" w:rsidRDefault="002B0193" w:rsidP="002B0193">
      <w:pPr>
        <w:pStyle w:val="CitaviBibliographyEntry"/>
      </w:pPr>
      <w:r w:rsidRPr="00AD7DF2">
        <w:rPr>
          <w:noProof/>
        </w:rPr>
        <w:drawing>
          <wp:inline distT="0" distB="0" distL="0" distR="0" wp14:anchorId="2F8CF4B5" wp14:editId="4D9493A1">
            <wp:extent cx="5486400" cy="378269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782695"/>
                    </a:xfrm>
                    <a:prstGeom prst="rect">
                      <a:avLst/>
                    </a:prstGeom>
                    <a:noFill/>
                    <a:ln>
                      <a:noFill/>
                    </a:ln>
                  </pic:spPr>
                </pic:pic>
              </a:graphicData>
            </a:graphic>
          </wp:inline>
        </w:drawing>
      </w:r>
    </w:p>
    <w:p w14:paraId="1529CE31" w14:textId="5088B726" w:rsidR="002B0193" w:rsidRPr="00BC28E5" w:rsidRDefault="002B0193" w:rsidP="002B0193">
      <w:pPr>
        <w:pStyle w:val="CitaviBibliographyEntry"/>
        <w:jc w:val="center"/>
        <w:rPr>
          <w:rFonts w:ascii="Times New Roman" w:hAnsi="Times New Roman" w:cs="Times New Roman"/>
          <w:sz w:val="20"/>
          <w:szCs w:val="20"/>
        </w:rPr>
      </w:pPr>
      <w:r w:rsidRPr="00BC28E5">
        <w:rPr>
          <w:rFonts w:ascii="Times New Roman" w:hAnsi="Times New Roman" w:cs="Times New Roman"/>
          <w:b/>
          <w:bCs/>
          <w:sz w:val="20"/>
          <w:szCs w:val="20"/>
        </w:rPr>
        <w:t xml:space="preserve">Figure </w:t>
      </w:r>
      <w:r w:rsidR="00D97435" w:rsidRPr="00BC28E5">
        <w:rPr>
          <w:rFonts w:ascii="Times New Roman" w:hAnsi="Times New Roman" w:cs="Times New Roman"/>
          <w:b/>
          <w:bCs/>
          <w:sz w:val="20"/>
          <w:szCs w:val="20"/>
        </w:rPr>
        <w:t>A4</w:t>
      </w:r>
      <w:r w:rsidRPr="00BC28E5">
        <w:rPr>
          <w:rFonts w:ascii="Times New Roman" w:hAnsi="Times New Roman" w:cs="Times New Roman"/>
          <w:sz w:val="20"/>
          <w:szCs w:val="20"/>
        </w:rPr>
        <w:t>. Total exported Ga in each Ga-containing product of four major countries (China, USA, Japan and Germany) in 2010, 2015 and 2020.</w:t>
      </w:r>
    </w:p>
    <w:p w14:paraId="460D6E85" w14:textId="77777777" w:rsidR="008F58B6" w:rsidRPr="00BC28E5" w:rsidRDefault="008F58B6" w:rsidP="002B0193">
      <w:pPr>
        <w:pStyle w:val="CitaviBibliographyEntry"/>
        <w:jc w:val="center"/>
        <w:rPr>
          <w:rFonts w:ascii="Times New Roman" w:hAnsi="Times New Roman" w:cs="Times New Roman"/>
          <w:sz w:val="20"/>
          <w:szCs w:val="20"/>
        </w:rPr>
      </w:pPr>
    </w:p>
    <w:p w14:paraId="6A51045A" w14:textId="77777777" w:rsidR="008F58B6" w:rsidRDefault="008F58B6" w:rsidP="008F58B6">
      <w:pPr>
        <w:jc w:val="center"/>
        <w:rPr>
          <w:rFonts w:eastAsia="Microsoft YaHei UI" w:cs="Times New Roman"/>
          <w:color w:val="000000"/>
        </w:rPr>
      </w:pPr>
      <w:r>
        <w:rPr>
          <w:rFonts w:eastAsia="Microsoft YaHei UI" w:cs="Times New Roman"/>
          <w:noProof/>
          <w:color w:val="000000"/>
        </w:rPr>
        <w:lastRenderedPageBreak/>
        <w:drawing>
          <wp:inline distT="0" distB="0" distL="0" distR="0" wp14:anchorId="44C41D89" wp14:editId="32ADFA1F">
            <wp:extent cx="5134122" cy="6944277"/>
            <wp:effectExtent l="0" t="0" r="0" b="9525"/>
            <wp:docPr id="17759547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54735" name="图片 1775954735"/>
                    <pic:cNvPicPr/>
                  </pic:nvPicPr>
                  <pic:blipFill rotWithShape="1">
                    <a:blip r:embed="rId12" cstate="print">
                      <a:extLst>
                        <a:ext uri="{28A0092B-C50C-407E-A947-70E740481C1C}">
                          <a14:useLocalDpi xmlns:a14="http://schemas.microsoft.com/office/drawing/2010/main" val="0"/>
                        </a:ext>
                      </a:extLst>
                    </a:blip>
                    <a:srcRect l="3718" t="2969" r="1401" b="4167"/>
                    <a:stretch/>
                  </pic:blipFill>
                  <pic:spPr bwMode="auto">
                    <a:xfrm>
                      <a:off x="0" y="0"/>
                      <a:ext cx="5136098" cy="6946950"/>
                    </a:xfrm>
                    <a:prstGeom prst="rect">
                      <a:avLst/>
                    </a:prstGeom>
                    <a:ln>
                      <a:noFill/>
                    </a:ln>
                    <a:extLst>
                      <a:ext uri="{53640926-AAD7-44D8-BBD7-CCE9431645EC}">
                        <a14:shadowObscured xmlns:a14="http://schemas.microsoft.com/office/drawing/2010/main"/>
                      </a:ext>
                    </a:extLst>
                  </pic:spPr>
                </pic:pic>
              </a:graphicData>
            </a:graphic>
          </wp:inline>
        </w:drawing>
      </w:r>
    </w:p>
    <w:p w14:paraId="4120D71F" w14:textId="77777777" w:rsidR="008F58B6" w:rsidRPr="00BC28E5" w:rsidRDefault="008F58B6" w:rsidP="00BC28E5">
      <w:pPr>
        <w:jc w:val="center"/>
        <w:rPr>
          <w:rFonts w:ascii="Times New Roman" w:eastAsia="Microsoft YaHei UI" w:hAnsi="Times New Roman" w:cs="Times New Roman"/>
          <w:color w:val="000000" w:themeColor="text1"/>
          <w:sz w:val="20"/>
          <w:szCs w:val="20"/>
        </w:rPr>
      </w:pPr>
      <w:r w:rsidRPr="00BC28E5">
        <w:rPr>
          <w:rFonts w:ascii="Times New Roman" w:eastAsia="Microsoft YaHei UI" w:hAnsi="Times New Roman" w:cs="Times New Roman"/>
          <w:color w:val="000000" w:themeColor="text1"/>
          <w:sz w:val="20"/>
          <w:szCs w:val="20"/>
        </w:rPr>
        <w:t xml:space="preserve">Figure A5. </w:t>
      </w:r>
      <w:bookmarkStart w:id="8" w:name="OLE_LINK11"/>
      <w:r w:rsidRPr="00BC28E5">
        <w:rPr>
          <w:rFonts w:ascii="Times New Roman" w:eastAsia="Microsoft YaHei UI" w:hAnsi="Times New Roman" w:cs="Times New Roman"/>
          <w:color w:val="000000" w:themeColor="text1"/>
          <w:sz w:val="20"/>
          <w:szCs w:val="20"/>
        </w:rPr>
        <w:t>Ga content in bauxite (a) and zinc ores (b) imports for China, USA, Japan and Germany between 2000-2020.</w:t>
      </w:r>
      <w:bookmarkEnd w:id="8"/>
    </w:p>
    <w:p w14:paraId="23E9A5B7" w14:textId="77777777" w:rsidR="008F58B6" w:rsidRPr="00BC28E5" w:rsidRDefault="008F58B6" w:rsidP="008F58B6">
      <w:pPr>
        <w:rPr>
          <w:rFonts w:ascii="Times New Roman" w:eastAsia="Microsoft YaHei UI" w:hAnsi="Times New Roman" w:cs="Times New Roman"/>
          <w:color w:val="000000" w:themeColor="text1"/>
          <w:sz w:val="20"/>
          <w:szCs w:val="20"/>
        </w:rPr>
      </w:pPr>
      <w:r w:rsidRPr="00BC28E5">
        <w:rPr>
          <w:rFonts w:ascii="Times New Roman" w:eastAsia="Microsoft YaHei UI" w:hAnsi="Times New Roman" w:cs="Times New Roman"/>
          <w:color w:val="000000" w:themeColor="text1"/>
          <w:sz w:val="20"/>
          <w:szCs w:val="20"/>
        </w:rPr>
        <w:t>Note:</w:t>
      </w:r>
    </w:p>
    <w:p w14:paraId="55873512" w14:textId="1130C46A" w:rsidR="008F58B6" w:rsidRPr="00BC28E5" w:rsidRDefault="008F58B6" w:rsidP="008F58B6">
      <w:pPr>
        <w:rPr>
          <w:rFonts w:ascii="Times New Roman" w:eastAsia="Microsoft YaHei UI" w:hAnsi="Times New Roman" w:cs="Times New Roman"/>
          <w:color w:val="000000" w:themeColor="text1"/>
          <w:sz w:val="20"/>
          <w:szCs w:val="20"/>
        </w:rPr>
      </w:pPr>
      <w:r w:rsidRPr="00BC28E5">
        <w:rPr>
          <w:rFonts w:ascii="Times New Roman" w:eastAsia="Microsoft YaHei UI" w:hAnsi="Times New Roman" w:cs="Times New Roman"/>
          <w:color w:val="000000" w:themeColor="text1"/>
          <w:sz w:val="20"/>
          <w:szCs w:val="20"/>
        </w:rPr>
        <w:lastRenderedPageBreak/>
        <w:t xml:space="preserve">1. </w:t>
      </w:r>
      <w:bookmarkStart w:id="9" w:name="OLE_LINK13"/>
      <w:r w:rsidRPr="00BC28E5">
        <w:rPr>
          <w:rFonts w:ascii="Times New Roman" w:eastAsia="Microsoft YaHei UI" w:hAnsi="Times New Roman" w:cs="Times New Roman"/>
          <w:color w:val="000000" w:themeColor="text1"/>
          <w:sz w:val="20"/>
          <w:szCs w:val="20"/>
        </w:rPr>
        <w:t xml:space="preserve">The Ga content in the trade of bauxite and zinc ores was approximated by multiplying the average global gallium concentration in bauxite (57 </w:t>
      </w:r>
      <w:proofErr w:type="gramStart"/>
      <w:r w:rsidRPr="00BC28E5">
        <w:rPr>
          <w:rFonts w:ascii="Times New Roman" w:eastAsia="Microsoft YaHei UI" w:hAnsi="Times New Roman" w:cs="Times New Roman"/>
          <w:color w:val="000000" w:themeColor="text1"/>
          <w:sz w:val="20"/>
          <w:szCs w:val="20"/>
        </w:rPr>
        <w:t>ppm)</w:t>
      </w:r>
      <w:r w:rsidR="00A51D8E" w:rsidRPr="00BC28E5">
        <w:rPr>
          <w:rFonts w:ascii="Times New Roman" w:eastAsia="Microsoft YaHei UI" w:hAnsi="Times New Roman" w:cs="Times New Roman"/>
          <w:color w:val="000000" w:themeColor="text1"/>
          <w:sz w:val="20"/>
          <w:szCs w:val="20"/>
        </w:rPr>
        <w:t>(</w:t>
      </w:r>
      <w:proofErr w:type="gramEnd"/>
      <w:r w:rsidR="00A51D8E" w:rsidRPr="00BC28E5">
        <w:rPr>
          <w:rFonts w:ascii="Times New Roman" w:eastAsia="Microsoft YaHei UI" w:hAnsi="Times New Roman" w:cs="Times New Roman"/>
          <w:color w:val="000000" w:themeColor="text1"/>
          <w:sz w:val="20"/>
          <w:szCs w:val="20"/>
        </w:rPr>
        <w:t>Løvik et al., 2015)</w:t>
      </w:r>
      <w:r w:rsidRPr="00BC28E5">
        <w:rPr>
          <w:rFonts w:ascii="Times New Roman" w:eastAsia="Microsoft YaHei UI" w:hAnsi="Times New Roman" w:cs="Times New Roman"/>
          <w:color w:val="000000" w:themeColor="text1"/>
          <w:sz w:val="20"/>
          <w:szCs w:val="20"/>
        </w:rPr>
        <w:t xml:space="preserve"> and zinc ore (50 ppm)</w:t>
      </w:r>
      <w:r w:rsidR="00A51D8E" w:rsidRPr="00BC28E5">
        <w:rPr>
          <w:rFonts w:ascii="Times New Roman" w:eastAsia="Microsoft YaHei UI" w:hAnsi="Times New Roman" w:cs="Times New Roman"/>
          <w:color w:val="000000" w:themeColor="text1"/>
          <w:sz w:val="20"/>
          <w:szCs w:val="20"/>
        </w:rPr>
        <w:t>(Lu et al., 2017)</w:t>
      </w:r>
      <w:r w:rsidRPr="00BC28E5">
        <w:rPr>
          <w:rFonts w:ascii="Times New Roman" w:eastAsia="Microsoft YaHei UI" w:hAnsi="Times New Roman" w:cs="Times New Roman"/>
          <w:color w:val="000000" w:themeColor="text1"/>
          <w:sz w:val="20"/>
          <w:szCs w:val="20"/>
        </w:rPr>
        <w:t xml:space="preserve"> by the quantities of trade ores.</w:t>
      </w:r>
      <w:bookmarkEnd w:id="9"/>
    </w:p>
    <w:p w14:paraId="3AD5F827" w14:textId="6BCA6BFE" w:rsidR="00C47511" w:rsidRPr="00BC28E5" w:rsidRDefault="008F58B6" w:rsidP="00BC28E5">
      <w:pPr>
        <w:rPr>
          <w:rFonts w:ascii="Times New Roman" w:eastAsia="Microsoft YaHei UI" w:hAnsi="Times New Roman" w:cs="Times New Roman"/>
          <w:color w:val="000000" w:themeColor="text1"/>
        </w:rPr>
      </w:pPr>
      <w:r w:rsidRPr="00BC28E5">
        <w:rPr>
          <w:rFonts w:ascii="Times New Roman" w:eastAsia="Microsoft YaHei UI" w:hAnsi="Times New Roman" w:cs="Times New Roman"/>
          <w:color w:val="000000" w:themeColor="text1"/>
          <w:sz w:val="20"/>
          <w:szCs w:val="20"/>
        </w:rPr>
        <w:t>2. Error bars represent the upper and lower limits, accounting for the uncertainty in Ga content within the host ores of bauxite (a) and zinc ores (b).</w:t>
      </w:r>
    </w:p>
    <w:p w14:paraId="7FD7E6D1" w14:textId="77777777" w:rsidR="002B0193" w:rsidRDefault="002B0193" w:rsidP="00BC28E5"/>
    <w:p w14:paraId="18BEE8E6" w14:textId="77777777" w:rsidR="002B0193" w:rsidRDefault="002B0193" w:rsidP="002B0193">
      <w:pPr>
        <w:pStyle w:val="CitaviBibliographyEntry"/>
        <w:jc w:val="center"/>
        <w:rPr>
          <w:rFonts w:ascii="Times New Roman" w:hAnsi="Times New Roman" w:cs="Times New Roman"/>
        </w:rPr>
      </w:pPr>
      <w:r w:rsidRPr="003662AE">
        <w:rPr>
          <w:noProof/>
        </w:rPr>
        <w:drawing>
          <wp:inline distT="0" distB="0" distL="0" distR="0" wp14:anchorId="57F05E97" wp14:editId="0D63B60D">
            <wp:extent cx="4381308" cy="2813050"/>
            <wp:effectExtent l="0" t="0" r="63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00" r="2153" b="3846"/>
                    <a:stretch/>
                  </pic:blipFill>
                  <pic:spPr bwMode="auto">
                    <a:xfrm>
                      <a:off x="0" y="0"/>
                      <a:ext cx="4382070" cy="2813539"/>
                    </a:xfrm>
                    <a:prstGeom prst="rect">
                      <a:avLst/>
                    </a:prstGeom>
                    <a:noFill/>
                    <a:ln>
                      <a:noFill/>
                    </a:ln>
                    <a:extLst>
                      <a:ext uri="{53640926-AAD7-44D8-BBD7-CCE9431645EC}">
                        <a14:shadowObscured xmlns:a14="http://schemas.microsoft.com/office/drawing/2010/main"/>
                      </a:ext>
                    </a:extLst>
                  </pic:spPr>
                </pic:pic>
              </a:graphicData>
            </a:graphic>
          </wp:inline>
        </w:drawing>
      </w:r>
    </w:p>
    <w:p w14:paraId="6EF97487" w14:textId="7982E6DB" w:rsidR="002B0193" w:rsidRPr="00BC28E5" w:rsidRDefault="002B0193" w:rsidP="002B0193">
      <w:pPr>
        <w:pStyle w:val="CitaviBibliographyEntry"/>
        <w:jc w:val="center"/>
        <w:rPr>
          <w:rFonts w:ascii="Times New Roman" w:hAnsi="Times New Roman" w:cs="Times New Roman"/>
          <w:sz w:val="20"/>
          <w:szCs w:val="20"/>
        </w:rPr>
      </w:pPr>
      <w:r w:rsidRPr="00BC28E5">
        <w:rPr>
          <w:rFonts w:ascii="Times New Roman" w:hAnsi="Times New Roman" w:cs="Times New Roman"/>
          <w:b/>
          <w:bCs/>
          <w:sz w:val="20"/>
          <w:szCs w:val="20"/>
        </w:rPr>
        <w:t xml:space="preserve">Figure </w:t>
      </w:r>
      <w:r w:rsidR="00D97435" w:rsidRPr="00BC28E5">
        <w:rPr>
          <w:rFonts w:ascii="Times New Roman" w:hAnsi="Times New Roman" w:cs="Times New Roman"/>
          <w:b/>
          <w:bCs/>
          <w:sz w:val="20"/>
          <w:szCs w:val="20"/>
        </w:rPr>
        <w:t>A</w:t>
      </w:r>
      <w:r w:rsidR="008F58B6" w:rsidRPr="00BC28E5">
        <w:rPr>
          <w:rFonts w:ascii="Times New Roman" w:hAnsi="Times New Roman" w:cs="Times New Roman"/>
          <w:b/>
          <w:bCs/>
          <w:sz w:val="20"/>
          <w:szCs w:val="20"/>
        </w:rPr>
        <w:t>6</w:t>
      </w:r>
      <w:r w:rsidRPr="00BC28E5">
        <w:rPr>
          <w:rFonts w:ascii="Times New Roman" w:hAnsi="Times New Roman" w:cs="Times New Roman"/>
          <w:sz w:val="20"/>
          <w:szCs w:val="20"/>
        </w:rPr>
        <w:t>. Gallium supply surplus of each country/region during 2000-2020.</w:t>
      </w:r>
    </w:p>
    <w:p w14:paraId="77FBEF3E" w14:textId="77777777" w:rsidR="002B0193" w:rsidRDefault="002B0193" w:rsidP="002B0193">
      <w:pPr>
        <w:pStyle w:val="CitaviBibliographyEntry"/>
        <w:jc w:val="center"/>
        <w:rPr>
          <w:rFonts w:ascii="Times New Roman" w:hAnsi="Times New Roman" w:cs="Times New Roman"/>
        </w:rPr>
      </w:pPr>
    </w:p>
    <w:p w14:paraId="72F848FD" w14:textId="2DDF6049" w:rsidR="002B0193" w:rsidRDefault="0071586A" w:rsidP="002B0193">
      <w:pPr>
        <w:pStyle w:val="CitaviBibliographyEntry"/>
        <w:jc w:val="center"/>
        <w:rPr>
          <w:rFonts w:ascii="Times New Roman" w:hAnsi="Times New Roman" w:cs="Times New Roman"/>
        </w:rPr>
      </w:pPr>
      <w:bookmarkStart w:id="10" w:name="_Hlk147850729"/>
      <w:r>
        <w:rPr>
          <w:rFonts w:ascii="Times New Roman" w:hAnsi="Times New Roman" w:cs="Times New Roman"/>
          <w:noProof/>
        </w:rPr>
        <w:drawing>
          <wp:inline distT="0" distB="0" distL="0" distR="0" wp14:anchorId="31852F55" wp14:editId="1F143CFD">
            <wp:extent cx="5179839" cy="2774913"/>
            <wp:effectExtent l="0" t="0" r="1905" b="6985"/>
            <wp:docPr id="770129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9224" name="图片 770129224"/>
                    <pic:cNvPicPr/>
                  </pic:nvPicPr>
                  <pic:blipFill rotWithShape="1">
                    <a:blip r:embed="rId14">
                      <a:extLst>
                        <a:ext uri="{28A0092B-C50C-407E-A947-70E740481C1C}">
                          <a14:useLocalDpi xmlns:a14="http://schemas.microsoft.com/office/drawing/2010/main" val="0"/>
                        </a:ext>
                      </a:extLst>
                    </a:blip>
                    <a:srcRect r="5587" b="3618"/>
                    <a:stretch/>
                  </pic:blipFill>
                  <pic:spPr bwMode="auto">
                    <a:xfrm>
                      <a:off x="0" y="0"/>
                      <a:ext cx="5179839" cy="2774913"/>
                    </a:xfrm>
                    <a:prstGeom prst="rect">
                      <a:avLst/>
                    </a:prstGeom>
                    <a:ln>
                      <a:noFill/>
                    </a:ln>
                    <a:extLst>
                      <a:ext uri="{53640926-AAD7-44D8-BBD7-CCE9431645EC}">
                        <a14:shadowObscured xmlns:a14="http://schemas.microsoft.com/office/drawing/2010/main"/>
                      </a:ext>
                    </a:extLst>
                  </pic:spPr>
                </pic:pic>
              </a:graphicData>
            </a:graphic>
          </wp:inline>
        </w:drawing>
      </w:r>
    </w:p>
    <w:p w14:paraId="3A150C1E" w14:textId="095958F5" w:rsidR="002B0193" w:rsidRPr="00BC28E5" w:rsidRDefault="002B0193" w:rsidP="002B0193">
      <w:pPr>
        <w:pStyle w:val="CitaviBibliographyEntry"/>
        <w:jc w:val="center"/>
        <w:rPr>
          <w:rFonts w:ascii="Times New Roman" w:hAnsi="Times New Roman" w:cs="Times New Roman"/>
          <w:sz w:val="20"/>
          <w:szCs w:val="20"/>
        </w:rPr>
      </w:pPr>
      <w:r w:rsidRPr="00DF351D">
        <w:rPr>
          <w:rFonts w:ascii="Times New Roman" w:hAnsi="Times New Roman" w:cs="Times New Roman"/>
        </w:rPr>
        <w:t xml:space="preserve"> </w:t>
      </w:r>
      <w:r w:rsidRPr="00BC28E5">
        <w:rPr>
          <w:rFonts w:ascii="Times New Roman" w:hAnsi="Times New Roman" w:cs="Times New Roman"/>
          <w:b/>
          <w:bCs/>
          <w:sz w:val="20"/>
          <w:szCs w:val="20"/>
        </w:rPr>
        <w:t xml:space="preserve">Figure </w:t>
      </w:r>
      <w:r w:rsidR="00D97435" w:rsidRPr="00BC28E5">
        <w:rPr>
          <w:rFonts w:ascii="Times New Roman" w:hAnsi="Times New Roman" w:cs="Times New Roman"/>
          <w:b/>
          <w:bCs/>
          <w:sz w:val="20"/>
          <w:szCs w:val="20"/>
        </w:rPr>
        <w:t>A</w:t>
      </w:r>
      <w:r w:rsidR="008F58B6" w:rsidRPr="00BC28E5">
        <w:rPr>
          <w:rFonts w:ascii="Times New Roman" w:hAnsi="Times New Roman" w:cs="Times New Roman"/>
          <w:b/>
          <w:bCs/>
          <w:sz w:val="20"/>
          <w:szCs w:val="20"/>
        </w:rPr>
        <w:t>7</w:t>
      </w:r>
      <w:r w:rsidRPr="00BC28E5">
        <w:rPr>
          <w:rFonts w:ascii="Times New Roman" w:hAnsi="Times New Roman" w:cs="Times New Roman"/>
          <w:sz w:val="20"/>
          <w:szCs w:val="20"/>
        </w:rPr>
        <w:t xml:space="preserve">. Uncertainty analysis results for (a) global in-use stock, (b) global EoL flow, (c) global loss flows of smelting and fabrication stage, net imports of Ga in all (d) Ga-containing commodities, (e) Ga metals, and (f) semi-products and final products.  </w:t>
      </w:r>
    </w:p>
    <w:bookmarkEnd w:id="10"/>
    <w:p w14:paraId="39025FAC" w14:textId="77777777" w:rsidR="00CB550E" w:rsidRDefault="00CB550E" w:rsidP="002B0193">
      <w:pPr>
        <w:pStyle w:val="CitaviBibliographyEntry"/>
        <w:jc w:val="center"/>
        <w:rPr>
          <w:rFonts w:ascii="Times New Roman" w:hAnsi="Times New Roman" w:cs="Times New Roman"/>
        </w:rPr>
      </w:pPr>
    </w:p>
    <w:p w14:paraId="5C3B5BF7" w14:textId="5178D9A8" w:rsidR="00A51D8E" w:rsidRPr="00BC28E5" w:rsidRDefault="00A51D8E" w:rsidP="00A51D8E">
      <w:pPr>
        <w:pStyle w:val="CitaviBibliographyHeading"/>
        <w:rPr>
          <w:rFonts w:ascii="Times New Roman" w:hAnsi="Times New Roman" w:cs="Times New Roman"/>
        </w:rPr>
      </w:pPr>
      <w:r w:rsidRPr="00BC28E5">
        <w:rPr>
          <w:rFonts w:ascii="Times New Roman" w:hAnsi="Times New Roman" w:cs="Times New Roman"/>
        </w:rPr>
        <w:t>References</w:t>
      </w:r>
    </w:p>
    <w:p w14:paraId="03492E47" w14:textId="3192C220" w:rsidR="00863258" w:rsidRPr="00BC28E5" w:rsidRDefault="00863258" w:rsidP="00A51D8E">
      <w:pPr>
        <w:pStyle w:val="CitaviBibliographyEntry"/>
        <w:rPr>
          <w:rFonts w:ascii="Times New Roman" w:hAnsi="Times New Roman" w:cs="Times New Roman"/>
        </w:rPr>
      </w:pPr>
      <w:bookmarkStart w:id="11" w:name="_CTVL0013e4c85eb57cf41339538f8a65136d2e4"/>
      <w:r w:rsidRPr="00863258">
        <w:rPr>
          <w:rFonts w:ascii="Times New Roman" w:hAnsi="Times New Roman" w:cs="Times New Roman"/>
        </w:rPr>
        <w:t>Bai, G., Gao, R.W., Sun, Y., Han, G.B., Wang, B., 2007. Study of high-coercivity sintered NdFeB magnets. Journal of Magnetism and Magnetic Materials 308 (1), 20–23. DOI: 10.1016/j.oneear.2021.02.014.</w:t>
      </w:r>
    </w:p>
    <w:p w14:paraId="483F68A6" w14:textId="77777777" w:rsidR="00863258" w:rsidRPr="00863258" w:rsidRDefault="00863258" w:rsidP="00863258">
      <w:pPr>
        <w:pStyle w:val="CitaviBibliographyEntry"/>
        <w:rPr>
          <w:rFonts w:ascii="Times New Roman" w:hAnsi="Times New Roman" w:cs="Times New Roman"/>
        </w:rPr>
      </w:pPr>
      <w:bookmarkStart w:id="12" w:name="_CTVL00118bb5eb81e0e45d889177f8b4ec198c4"/>
      <w:bookmarkEnd w:id="11"/>
      <w:r w:rsidRPr="00863258">
        <w:rPr>
          <w:rFonts w:ascii="Times New Roman" w:hAnsi="Times New Roman" w:cs="Times New Roman"/>
        </w:rPr>
        <w:t>CBC Metal, 2022. Gallium Consumption Statistics 2000-2020. https://en.cbcie.com/ (accessed on April 13, 2023).</w:t>
      </w:r>
    </w:p>
    <w:p w14:paraId="1C1069F7" w14:textId="28377E3C" w:rsidR="00863258" w:rsidRPr="00BC28E5" w:rsidRDefault="00863258" w:rsidP="00A51D8E">
      <w:pPr>
        <w:pStyle w:val="CitaviBibliographyEntry"/>
        <w:rPr>
          <w:rFonts w:ascii="Times New Roman" w:hAnsi="Times New Roman" w:cs="Times New Roman"/>
        </w:rPr>
      </w:pPr>
      <w:bookmarkStart w:id="13" w:name="_CTVL001a0b11c0015964621ae88ca70a1a51b6b"/>
      <w:bookmarkEnd w:id="12"/>
      <w:r w:rsidRPr="00863258">
        <w:rPr>
          <w:rFonts w:ascii="Times New Roman" w:hAnsi="Times New Roman" w:cs="Times New Roman"/>
        </w:rPr>
        <w:t>China Nonferrous Metals Association Gallium, Selenium &amp; Tellurium Branch (CNMA). http://chinagasete.org/ (accessed on April 13, 2023).</w:t>
      </w:r>
    </w:p>
    <w:p w14:paraId="49C9AAAA" w14:textId="3152FEE6" w:rsidR="00A51D8E" w:rsidRPr="00BC28E5" w:rsidRDefault="00863258" w:rsidP="00A51D8E">
      <w:pPr>
        <w:pStyle w:val="CitaviBibliographyEntry"/>
        <w:rPr>
          <w:rFonts w:ascii="Times New Roman" w:hAnsi="Times New Roman" w:cs="Times New Roman"/>
        </w:rPr>
      </w:pPr>
      <w:bookmarkStart w:id="14" w:name="_CTVL0017851fd77b58e43d9b40b6b14e9c12370"/>
      <w:bookmarkEnd w:id="13"/>
      <w:r w:rsidRPr="00BC28E5">
        <w:rPr>
          <w:rFonts w:ascii="Times New Roman" w:hAnsi="Times New Roman" w:cs="Times New Roman"/>
        </w:rPr>
        <w:t>D</w:t>
      </w:r>
      <w:r>
        <w:rPr>
          <w:rFonts w:ascii="Times New Roman" w:hAnsi="Times New Roman" w:cs="Times New Roman"/>
        </w:rPr>
        <w:t>un,</w:t>
      </w:r>
      <w:r w:rsidRPr="00BC28E5">
        <w:rPr>
          <w:rFonts w:ascii="Times New Roman" w:hAnsi="Times New Roman" w:cs="Times New Roman"/>
        </w:rPr>
        <w:t xml:space="preserve"> </w:t>
      </w:r>
      <w:r w:rsidR="00A51D8E" w:rsidRPr="00BC28E5">
        <w:rPr>
          <w:rFonts w:ascii="Times New Roman" w:hAnsi="Times New Roman" w:cs="Times New Roman"/>
        </w:rPr>
        <w:t>Y</w:t>
      </w:r>
      <w:r>
        <w:rPr>
          <w:rFonts w:ascii="Times New Roman" w:hAnsi="Times New Roman" w:cs="Times New Roman"/>
        </w:rPr>
        <w:t>.</w:t>
      </w:r>
      <w:r w:rsidR="00A51D8E" w:rsidRPr="00BC28E5">
        <w:rPr>
          <w:rFonts w:ascii="Times New Roman" w:hAnsi="Times New Roman" w:cs="Times New Roman"/>
        </w:rPr>
        <w:t>, J</w:t>
      </w:r>
      <w:r>
        <w:rPr>
          <w:rFonts w:ascii="Times New Roman" w:hAnsi="Times New Roman" w:cs="Times New Roman"/>
        </w:rPr>
        <w:t>in,</w:t>
      </w:r>
      <w:r w:rsidR="00A51D8E" w:rsidRPr="00BC28E5">
        <w:rPr>
          <w:rFonts w:ascii="Times New Roman" w:hAnsi="Times New Roman" w:cs="Times New Roman"/>
        </w:rPr>
        <w:t xml:space="preserve"> H</w:t>
      </w:r>
      <w:r>
        <w:rPr>
          <w:rFonts w:ascii="Times New Roman" w:hAnsi="Times New Roman" w:cs="Times New Roman"/>
        </w:rPr>
        <w:t>.</w:t>
      </w:r>
      <w:r w:rsidR="00A51D8E" w:rsidRPr="00BC28E5">
        <w:rPr>
          <w:rFonts w:ascii="Times New Roman" w:hAnsi="Times New Roman" w:cs="Times New Roman"/>
        </w:rPr>
        <w:t xml:space="preserve">, </w:t>
      </w:r>
      <w:r>
        <w:rPr>
          <w:rFonts w:ascii="Times New Roman" w:hAnsi="Times New Roman" w:cs="Times New Roman"/>
        </w:rPr>
        <w:t>Luo,</w:t>
      </w:r>
      <w:r w:rsidR="00A51D8E" w:rsidRPr="00BC28E5">
        <w:rPr>
          <w:rFonts w:ascii="Times New Roman" w:hAnsi="Times New Roman" w:cs="Times New Roman"/>
        </w:rPr>
        <w:t xml:space="preserve"> C</w:t>
      </w:r>
      <w:r>
        <w:rPr>
          <w:rFonts w:ascii="Times New Roman" w:hAnsi="Times New Roman" w:cs="Times New Roman"/>
        </w:rPr>
        <w:t>.</w:t>
      </w:r>
      <w:r w:rsidR="00A51D8E" w:rsidRPr="00BC28E5">
        <w:rPr>
          <w:rFonts w:ascii="Times New Roman" w:hAnsi="Times New Roman" w:cs="Times New Roman"/>
        </w:rPr>
        <w:t>, L</w:t>
      </w:r>
      <w:r>
        <w:rPr>
          <w:rFonts w:ascii="Times New Roman" w:hAnsi="Times New Roman" w:cs="Times New Roman"/>
        </w:rPr>
        <w:t>uan,</w:t>
      </w:r>
      <w:r w:rsidR="00A51D8E" w:rsidRPr="00BC28E5">
        <w:rPr>
          <w:rFonts w:ascii="Times New Roman" w:hAnsi="Times New Roman" w:cs="Times New Roman"/>
        </w:rPr>
        <w:t xml:space="preserve"> W</w:t>
      </w:r>
      <w:r>
        <w:rPr>
          <w:rFonts w:ascii="Times New Roman" w:hAnsi="Times New Roman" w:cs="Times New Roman"/>
        </w:rPr>
        <w:t>.</w:t>
      </w:r>
      <w:r w:rsidR="00A51D8E" w:rsidRPr="00BC28E5">
        <w:rPr>
          <w:rFonts w:ascii="Times New Roman" w:hAnsi="Times New Roman" w:cs="Times New Roman"/>
        </w:rPr>
        <w:t>, S</w:t>
      </w:r>
      <w:r>
        <w:rPr>
          <w:rFonts w:ascii="Times New Roman" w:hAnsi="Times New Roman" w:cs="Times New Roman"/>
        </w:rPr>
        <w:t>ong,</w:t>
      </w:r>
      <w:r w:rsidR="00A51D8E" w:rsidRPr="00BC28E5">
        <w:rPr>
          <w:rFonts w:ascii="Times New Roman" w:hAnsi="Times New Roman" w:cs="Times New Roman"/>
        </w:rPr>
        <w:t xml:space="preserve"> Z</w:t>
      </w:r>
      <w:r>
        <w:rPr>
          <w:rFonts w:ascii="Times New Roman" w:hAnsi="Times New Roman" w:cs="Times New Roman"/>
        </w:rPr>
        <w:t>.</w:t>
      </w:r>
      <w:r w:rsidR="00A51D8E" w:rsidRPr="00BC28E5">
        <w:rPr>
          <w:rFonts w:ascii="Times New Roman" w:hAnsi="Times New Roman" w:cs="Times New Roman"/>
        </w:rPr>
        <w:t>, 2019. Current Situation and Utilization Trend of the Global Gallium Resources (in Chinese). Conservation and Utilization of Mineral Resources 5 (39), 9–15.</w:t>
      </w:r>
    </w:p>
    <w:p w14:paraId="5534CCC0" w14:textId="58098748" w:rsidR="00A51D8E" w:rsidRPr="00BC28E5" w:rsidRDefault="00863258" w:rsidP="00A51D8E">
      <w:pPr>
        <w:pStyle w:val="CitaviBibliographyEntry"/>
        <w:rPr>
          <w:rFonts w:ascii="Times New Roman" w:hAnsi="Times New Roman" w:cs="Times New Roman"/>
        </w:rPr>
      </w:pPr>
      <w:bookmarkStart w:id="15" w:name="_CTVL001e40ba088033640e1bfecb4d0ecef540c"/>
      <w:bookmarkEnd w:id="14"/>
      <w:r w:rsidRPr="00863258">
        <w:rPr>
          <w:rFonts w:ascii="Times New Roman" w:hAnsi="Times New Roman" w:cs="Times New Roman"/>
        </w:rPr>
        <w:t>Eheliyagoda, D., Zeng, X., Wang, Z., Albalghiti, E., Li, J., 2019. Forecasting the temporal stock generation and recycling potential of metals towards a sustainable future: The case of gallium in China. The Science of the Total Environment 689, 332–340. DOI: 10.1016/j.scitotenv.2019.06.413.</w:t>
      </w:r>
    </w:p>
    <w:p w14:paraId="67DF8DD7" w14:textId="5A5A0DAE" w:rsidR="00863258" w:rsidRPr="00BC28E5" w:rsidRDefault="00863258" w:rsidP="00A51D8E">
      <w:pPr>
        <w:pStyle w:val="CitaviBibliographyEntry"/>
        <w:rPr>
          <w:rFonts w:ascii="Times New Roman" w:hAnsi="Times New Roman" w:cs="Times New Roman"/>
        </w:rPr>
      </w:pPr>
      <w:bookmarkStart w:id="16" w:name="_CTVL001e8b5e47790d64188869f95e356a59482"/>
      <w:bookmarkEnd w:id="15"/>
      <w:r w:rsidRPr="00863258">
        <w:rPr>
          <w:rFonts w:ascii="Times New Roman" w:hAnsi="Times New Roman" w:cs="Times New Roman"/>
        </w:rPr>
        <w:t>Foley, N.K., Jaskula, B.W., Kimball, B.E., Schulte, R.F., Schulz, K.J., DeYoung, J.H., Seal, R.R., Bradley, D.C., 2017. Chapter H of critical mineral resources of the United States—economic and environmental geology and prospects for future supply. https://doi.org/10.3133/pp1802H (accessed on April 13, 2023).</w:t>
      </w:r>
    </w:p>
    <w:p w14:paraId="2FE2029D" w14:textId="621DB648" w:rsidR="00863258" w:rsidRPr="00BC28E5" w:rsidRDefault="00863258" w:rsidP="00A51D8E">
      <w:pPr>
        <w:pStyle w:val="CitaviBibliographyEntry"/>
        <w:rPr>
          <w:rFonts w:ascii="Times New Roman" w:hAnsi="Times New Roman" w:cs="Times New Roman"/>
        </w:rPr>
      </w:pPr>
      <w:bookmarkStart w:id="17" w:name="_CTVL001a189b8aea1cc4da4a45ef8447ab5e060"/>
      <w:bookmarkEnd w:id="16"/>
      <w:r w:rsidRPr="00863258">
        <w:rPr>
          <w:rFonts w:ascii="Times New Roman" w:hAnsi="Times New Roman" w:cs="Times New Roman"/>
        </w:rPr>
        <w:t>Jia, H., Zhou, Y., WANG, A., Wang, G., Li, T., Wang, C., Xing, W., Ma, Z., Li, P., 2022. Evolution of the Anthropogenic Gallium Cycle in China From 2005 to 2020. Frontiers in Energy Research 10. DOI: 10.3389/fenrg.2022.944617.</w:t>
      </w:r>
    </w:p>
    <w:p w14:paraId="04924EC3" w14:textId="3CE5C92C" w:rsidR="00863258" w:rsidRPr="00BC28E5" w:rsidRDefault="00863258" w:rsidP="00A51D8E">
      <w:pPr>
        <w:pStyle w:val="CitaviBibliographyEntry"/>
        <w:rPr>
          <w:rFonts w:ascii="Times New Roman" w:hAnsi="Times New Roman" w:cs="Times New Roman"/>
        </w:rPr>
      </w:pPr>
      <w:bookmarkStart w:id="18" w:name="_CTVL001f2fcbff2cb9b45d595e1819e975ed1fe"/>
      <w:bookmarkEnd w:id="17"/>
      <w:r w:rsidRPr="00863258">
        <w:rPr>
          <w:rFonts w:ascii="Times New Roman" w:hAnsi="Times New Roman" w:cs="Times New Roman"/>
        </w:rPr>
        <w:t>Licht, C., Peiró, L.T., Villalba, G., 2015. Global Substance Flow Analysis of Gallium, Germanium, and Indium: Quantification of Extraction, Uses, and Dissipative Losses within their Anthropogenic Cycles. Journal of Industrial Ecology 19 (5), 890–903. DOI: 10.1111/jiec.12287.</w:t>
      </w:r>
    </w:p>
    <w:p w14:paraId="752837C8" w14:textId="4108EBDE" w:rsidR="00863258" w:rsidRPr="00BC28E5" w:rsidRDefault="00863258" w:rsidP="00A51D8E">
      <w:pPr>
        <w:pStyle w:val="CitaviBibliographyEntry"/>
        <w:rPr>
          <w:rFonts w:ascii="Times New Roman" w:hAnsi="Times New Roman" w:cs="Times New Roman"/>
        </w:rPr>
      </w:pPr>
      <w:bookmarkStart w:id="19" w:name="_CTVL0016efe33edce744f6cadd104c328936496"/>
      <w:bookmarkEnd w:id="18"/>
      <w:r w:rsidRPr="00863258">
        <w:rPr>
          <w:rFonts w:ascii="Times New Roman" w:hAnsi="Times New Roman" w:cs="Times New Roman"/>
        </w:rPr>
        <w:t>Liu, Q., Sun, K., Ouyang, X., Sen, B., Liu, L., Dai, T., Liu, G., 2022. Tracking Three Decades of Global Neodymium Stocks and Flows with a Trade-Linked Multiregional Material Flow Analysis. Environmental Science &amp; Technology 56 (16), 11807–11817. DOI: 10.1021/acs.est.2c02247.</w:t>
      </w:r>
    </w:p>
    <w:p w14:paraId="3E880934" w14:textId="4D865993" w:rsidR="00897CFA" w:rsidRPr="00BC28E5" w:rsidRDefault="00897CFA" w:rsidP="00A51D8E">
      <w:pPr>
        <w:pStyle w:val="CitaviBibliographyEntry"/>
        <w:rPr>
          <w:rFonts w:ascii="Times New Roman" w:hAnsi="Times New Roman" w:cs="Times New Roman"/>
        </w:rPr>
      </w:pPr>
      <w:bookmarkStart w:id="20" w:name="_CTVL001a330b5a77b384fc7a563ca84f5eb0a71"/>
      <w:bookmarkEnd w:id="19"/>
      <w:r w:rsidRPr="00897CFA">
        <w:rPr>
          <w:rFonts w:ascii="Times New Roman" w:hAnsi="Times New Roman" w:cs="Times New Roman"/>
        </w:rPr>
        <w:lastRenderedPageBreak/>
        <w:t>Løvik, A.N., Restrepo, E., Müller, D.B., 2015. The global anthropogenic gallium system: determinants of demand, supply and efficiency improvements. Environmental Science &amp; Technology 49 (9), 5704–5712. DOI: 10.1021/acs.est.5b00320.</w:t>
      </w:r>
    </w:p>
    <w:p w14:paraId="53E75D6B" w14:textId="15B443EF" w:rsidR="00A51D8E" w:rsidRPr="00BC28E5" w:rsidRDefault="00A51D8E" w:rsidP="00A51D8E">
      <w:pPr>
        <w:pStyle w:val="CitaviBibliographyEntry"/>
        <w:rPr>
          <w:rFonts w:ascii="Times New Roman" w:hAnsi="Times New Roman" w:cs="Times New Roman"/>
        </w:rPr>
      </w:pPr>
      <w:bookmarkStart w:id="21" w:name="_CTVL00152e122fbb62746619c7103abe98d135a"/>
      <w:bookmarkEnd w:id="20"/>
      <w:r w:rsidRPr="00BC28E5">
        <w:rPr>
          <w:rFonts w:ascii="Times New Roman" w:hAnsi="Times New Roman" w:cs="Times New Roman"/>
        </w:rPr>
        <w:t xml:space="preserve">Lu, F., Xiao, T., Lin, J., Ning, Z., Long, Q., Xiao, L., Huang, F., Wang, W., Xiao, Q., Lan, X., Chen, H., 2017. </w:t>
      </w:r>
      <w:bookmarkStart w:id="22" w:name="_Hlk148046771"/>
      <w:r w:rsidRPr="00BC28E5">
        <w:rPr>
          <w:rFonts w:ascii="Times New Roman" w:hAnsi="Times New Roman" w:cs="Times New Roman"/>
        </w:rPr>
        <w:t xml:space="preserve">Resources and extraction of </w:t>
      </w:r>
      <w:bookmarkEnd w:id="22"/>
      <w:r w:rsidRPr="00BC28E5">
        <w:rPr>
          <w:rFonts w:ascii="Times New Roman" w:hAnsi="Times New Roman" w:cs="Times New Roman"/>
        </w:rPr>
        <w:t>gallium: A review. Hydrometallurgy 174, 105–115.</w:t>
      </w:r>
      <w:r w:rsidR="00040402">
        <w:rPr>
          <w:rFonts w:ascii="Times New Roman" w:hAnsi="Times New Roman" w:cs="Times New Roman"/>
        </w:rPr>
        <w:t xml:space="preserve"> </w:t>
      </w:r>
      <w:r w:rsidR="00040402" w:rsidRPr="00897CFA">
        <w:rPr>
          <w:rFonts w:ascii="Times New Roman" w:hAnsi="Times New Roman" w:cs="Times New Roman"/>
        </w:rPr>
        <w:t>DOI:</w:t>
      </w:r>
      <w:r w:rsidR="00040402">
        <w:rPr>
          <w:rFonts w:ascii="Times New Roman" w:hAnsi="Times New Roman" w:cs="Times New Roman"/>
        </w:rPr>
        <w:t xml:space="preserve"> </w:t>
      </w:r>
      <w:r w:rsidR="00040402" w:rsidRPr="00040402">
        <w:rPr>
          <w:rFonts w:ascii="Times New Roman" w:hAnsi="Times New Roman" w:cs="Times New Roman"/>
        </w:rPr>
        <w:t>https://doi.org/10.1016/j.hydromet.2017.10.010</w:t>
      </w:r>
    </w:p>
    <w:p w14:paraId="3291B2A6" w14:textId="18B4E192" w:rsidR="00040402" w:rsidRPr="00BC28E5" w:rsidRDefault="00040402" w:rsidP="00A51D8E">
      <w:pPr>
        <w:pStyle w:val="CitaviBibliographyEntry"/>
        <w:rPr>
          <w:rFonts w:ascii="Times New Roman" w:hAnsi="Times New Roman" w:cs="Times New Roman"/>
        </w:rPr>
      </w:pPr>
      <w:bookmarkStart w:id="23" w:name="_CTVL0014636945d8f9245e2b1751d798c20c4b3"/>
      <w:bookmarkEnd w:id="21"/>
      <w:r w:rsidRPr="00040402">
        <w:rPr>
          <w:rFonts w:ascii="Times New Roman" w:hAnsi="Times New Roman" w:cs="Times New Roman"/>
        </w:rPr>
        <w:t>Meylan, G., Reck, B.K., Rechberger, H., Graedel, T.E., Schwab, O., 2017. Assessing the Reliability of Material Flow Analysis Results: The Cases of Rhenium, Gallium, and Germanium in the United States Economy. Environmental Science &amp; Technology 51 (20), 11839–11847. DOI: 10.1021/acs.est.7b03086.</w:t>
      </w:r>
    </w:p>
    <w:p w14:paraId="654E357A" w14:textId="686DDF40" w:rsidR="00040402" w:rsidRPr="00BC28E5" w:rsidRDefault="00040402" w:rsidP="00A51D8E">
      <w:pPr>
        <w:pStyle w:val="CitaviBibliographyEntry"/>
        <w:rPr>
          <w:rFonts w:ascii="Times New Roman" w:hAnsi="Times New Roman" w:cs="Times New Roman"/>
        </w:rPr>
      </w:pPr>
      <w:bookmarkStart w:id="24" w:name="_CTVL0015baee4632240440dbe0ab7e18614ce25"/>
      <w:bookmarkEnd w:id="23"/>
      <w:r w:rsidRPr="00040402">
        <w:rPr>
          <w:rFonts w:ascii="Times New Roman" w:hAnsi="Times New Roman" w:cs="Times New Roman"/>
        </w:rPr>
        <w:t>Oliveira, R.P. de, Benvenuti, J., Espinosa, D., 2021. A review of the current progress in recycling technologies for gallium and rare earth elements from light-emitting diodes. Renewable and Sustainable Energy Reviews 145, 111090. DOI: 10.1016/j.rser.2021.111090.</w:t>
      </w:r>
    </w:p>
    <w:p w14:paraId="739780C7" w14:textId="48E0AE9B" w:rsidR="00040402" w:rsidRPr="00BC28E5" w:rsidRDefault="00040402" w:rsidP="00A51D8E">
      <w:pPr>
        <w:pStyle w:val="CitaviBibliographyEntry"/>
        <w:rPr>
          <w:rFonts w:ascii="Times New Roman" w:hAnsi="Times New Roman" w:cs="Times New Roman"/>
        </w:rPr>
      </w:pPr>
      <w:bookmarkStart w:id="25" w:name="_CTVL001bafec5411bd2498f9b855d37d3d492fa"/>
      <w:bookmarkEnd w:id="24"/>
      <w:r w:rsidRPr="00040402">
        <w:rPr>
          <w:rFonts w:ascii="Times New Roman" w:hAnsi="Times New Roman" w:cs="Times New Roman"/>
        </w:rPr>
        <w:t>Sekine, N., Daigo, I., Goto, Y., 2017. Dynamic Substance Flow Analysis of Neodymium and Dysprosium Associated with Neodymium Magnets in Japan. Journal of Industrial Ecology 21 (2), 356–367. DOI: 10.1111/jiec.12458.</w:t>
      </w:r>
    </w:p>
    <w:p w14:paraId="2079188C" w14:textId="3EB39214" w:rsidR="00040402" w:rsidRPr="00BC28E5" w:rsidRDefault="00040402" w:rsidP="00A51D8E">
      <w:pPr>
        <w:pStyle w:val="CitaviBibliographyEntry"/>
        <w:rPr>
          <w:rFonts w:ascii="Times New Roman" w:hAnsi="Times New Roman" w:cs="Times New Roman"/>
        </w:rPr>
      </w:pPr>
      <w:bookmarkStart w:id="26" w:name="_CTVL001361306cd51d94682b8fea27c286aa0e0"/>
      <w:bookmarkEnd w:id="25"/>
      <w:r w:rsidRPr="00040402">
        <w:rPr>
          <w:rFonts w:ascii="Times New Roman" w:hAnsi="Times New Roman" w:cs="Times New Roman"/>
        </w:rPr>
        <w:t>USGS National Minerals Information Center, 2018. 2016 Minerals Yearbook-Gallium. https://d9-wret.s3.us-west-2.amazonaws.com/assets/palladium/production/s3fs-public/atoms/files/myb1-2016-galli.pdf (accessed on April 13, 2023).</w:t>
      </w:r>
    </w:p>
    <w:p w14:paraId="40FB5B2E" w14:textId="12AB5313" w:rsidR="00040402" w:rsidRPr="00BC28E5" w:rsidRDefault="00040402" w:rsidP="00BC28E5">
      <w:pPr>
        <w:pStyle w:val="CitaviBibliographyEntry"/>
        <w:ind w:left="346" w:hanging="346"/>
        <w:rPr>
          <w:rFonts w:ascii="Times New Roman" w:hAnsi="Times New Roman" w:cs="Times New Roman"/>
        </w:rPr>
      </w:pPr>
      <w:bookmarkStart w:id="27" w:name="_CTVL001973a16614c4345029cd5a203ad3d1c1c"/>
      <w:bookmarkEnd w:id="26"/>
      <w:r w:rsidRPr="00040402">
        <w:rPr>
          <w:rFonts w:ascii="Times New Roman" w:hAnsi="Times New Roman" w:cs="Times New Roman"/>
        </w:rPr>
        <w:t>USGS National Minerals Information Center, 2001-2023. Gallium statistics and information 2000-2020. https://www.usgs.gov/centers/national-minerals-information-center/gallium-statistics-and-information (accessed on April 13, 2023).</w:t>
      </w:r>
    </w:p>
    <w:p w14:paraId="079C9B29" w14:textId="50BEBD20" w:rsidR="00040402" w:rsidRPr="00BC28E5" w:rsidRDefault="00040402" w:rsidP="00A51D8E">
      <w:pPr>
        <w:pStyle w:val="CitaviBibliographyEntry"/>
        <w:rPr>
          <w:rFonts w:ascii="Times New Roman" w:hAnsi="Times New Roman" w:cs="Times New Roman"/>
        </w:rPr>
      </w:pPr>
      <w:bookmarkStart w:id="28" w:name="_CTVL001997937c2632d492ebc9dd4f233474ffd"/>
      <w:bookmarkEnd w:id="27"/>
      <w:r w:rsidRPr="00040402">
        <w:rPr>
          <w:rFonts w:ascii="Times New Roman" w:hAnsi="Times New Roman" w:cs="Times New Roman"/>
        </w:rPr>
        <w:t>USGS National Minerals Information Center, 2023. Mineral Commodity Summaries-Gallium. https://pubs.usgs.gov/periodicals/mcs2023/mcs2023-gallium.pdf (accessed on April 13, 2023).</w:t>
      </w:r>
    </w:p>
    <w:p w14:paraId="455F2DE3" w14:textId="49651BFF" w:rsidR="00040402" w:rsidRPr="00BC28E5" w:rsidRDefault="00040402" w:rsidP="00A51D8E">
      <w:pPr>
        <w:pStyle w:val="CitaviBibliographyEntry"/>
        <w:rPr>
          <w:rFonts w:ascii="Times New Roman" w:hAnsi="Times New Roman" w:cs="Times New Roman"/>
        </w:rPr>
      </w:pPr>
      <w:bookmarkStart w:id="29" w:name="_CTVL0010a29c358ab9547e79d451a23ed066db7"/>
      <w:bookmarkEnd w:id="28"/>
      <w:r w:rsidRPr="00040402">
        <w:rPr>
          <w:rFonts w:ascii="Times New Roman" w:hAnsi="Times New Roman" w:cs="Times New Roman"/>
        </w:rPr>
        <w:t>Werner, T.T., Ciacci, L., Mudd, G.M., Reck, B.K., Northey, S.A., 2018. Looking Down Under for a Circular Economy of Indium. Environmental Science &amp; Technology 52 (4), 2055–2062. DOI: 10.1021/acs.est.7b05022</w:t>
      </w:r>
    </w:p>
    <w:p w14:paraId="069A64AA" w14:textId="190BABEF" w:rsidR="00A51D8E" w:rsidRPr="00BC28E5" w:rsidRDefault="00A51D8E" w:rsidP="00A51D8E">
      <w:pPr>
        <w:pStyle w:val="CitaviBibliographyEntry"/>
        <w:rPr>
          <w:rFonts w:ascii="Times New Roman" w:hAnsi="Times New Roman" w:cs="Times New Roman"/>
        </w:rPr>
      </w:pPr>
      <w:bookmarkStart w:id="30" w:name="_CTVL001920780424a9f486287eff72b5841aaba"/>
      <w:bookmarkEnd w:id="29"/>
      <w:r w:rsidRPr="00BC28E5">
        <w:rPr>
          <w:rFonts w:ascii="Times New Roman" w:hAnsi="Times New Roman" w:cs="Times New Roman"/>
        </w:rPr>
        <w:t>Yao, T., Geng, Y., Sarkis, J., Xiao, S., Gao, Z., 2021. Dynamic neodymium stocks and flows analysis in China. Resources, Conservation and Recycling 174, 105752.</w:t>
      </w:r>
      <w:r w:rsidR="00040402">
        <w:rPr>
          <w:rFonts w:ascii="Times New Roman" w:hAnsi="Times New Roman" w:cs="Times New Roman"/>
        </w:rPr>
        <w:t xml:space="preserve"> DOI: </w:t>
      </w:r>
      <w:r w:rsidR="00040402" w:rsidRPr="00040402">
        <w:rPr>
          <w:rFonts w:ascii="Times New Roman" w:hAnsi="Times New Roman" w:cs="Times New Roman"/>
        </w:rPr>
        <w:t>https://doi.org/10.1016/j.resconrec.2021.105752</w:t>
      </w:r>
    </w:p>
    <w:p w14:paraId="31327EED" w14:textId="7CB8ED57" w:rsidR="00040402" w:rsidRPr="00BC28E5" w:rsidRDefault="00040402" w:rsidP="00A51D8E">
      <w:pPr>
        <w:pStyle w:val="CitaviBibliographyEntry"/>
        <w:rPr>
          <w:rFonts w:ascii="Times New Roman" w:hAnsi="Times New Roman" w:cs="Times New Roman"/>
        </w:rPr>
      </w:pPr>
      <w:bookmarkStart w:id="31" w:name="_CTVL0015ada3f5766db452abc9cece4761ec657"/>
      <w:bookmarkEnd w:id="30"/>
      <w:r w:rsidRPr="00040402">
        <w:rPr>
          <w:rFonts w:ascii="Times New Roman" w:hAnsi="Times New Roman" w:cs="Times New Roman"/>
        </w:rPr>
        <w:t>Zhang, J., Chen, W., Chen, X., Ying, K., Cheng, G., Qiu Yingji, Jin, B., 2015. Life prediction of LED lamps based on BRM under three-parameter weibull distribution. Chinese Journal of Liquid Crystals and Displays (30), 525–530. DOI: 10.3788/YJYXS20153003.0525</w:t>
      </w:r>
    </w:p>
    <w:p w14:paraId="135E26DB" w14:textId="29FB3BEE" w:rsidR="00BD66CC" w:rsidRPr="00BC28E5" w:rsidRDefault="00040402" w:rsidP="00BE77AF">
      <w:pPr>
        <w:pStyle w:val="CitaviBibliographyEntry"/>
        <w:rPr>
          <w:rFonts w:ascii="Times New Roman" w:hAnsi="Times New Roman" w:cs="Times New Roman"/>
        </w:rPr>
      </w:pPr>
      <w:bookmarkStart w:id="32" w:name="_CTVL0012c9ffa6a4306444a9331829da67044ec"/>
      <w:bookmarkEnd w:id="31"/>
      <w:r w:rsidRPr="00040402">
        <w:rPr>
          <w:rFonts w:ascii="Times New Roman" w:hAnsi="Times New Roman" w:cs="Times New Roman"/>
        </w:rPr>
        <w:lastRenderedPageBreak/>
        <w:t>Zhao, Z., Yang, Y., Xiao, Y., Fan, Y., 2012. Recovery of gallium from Bayer liquor: A review. Hydrometallurgy 125-126, 115–124. DOI: 10.1016/j.hydromet.2012.06.002.</w:t>
      </w:r>
      <w:bookmarkEnd w:id="32"/>
    </w:p>
    <w:p w14:paraId="59BEDA59" w14:textId="73CFB66F" w:rsidR="002E35E6" w:rsidRPr="00B10932" w:rsidRDefault="002E35E6" w:rsidP="00BC28E5">
      <w:pPr>
        <w:pStyle w:val="CitaviBibliographyEntry"/>
        <w:ind w:left="0" w:firstLine="0"/>
        <w:rPr>
          <w:rFonts w:ascii="Times New Roman" w:hAnsi="Times New Roman" w:cs="Times New Roman"/>
        </w:rPr>
      </w:pPr>
    </w:p>
    <w:sectPr w:rsidR="002E35E6" w:rsidRPr="00B10932">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99D2D" w14:textId="77777777" w:rsidR="0046125B" w:rsidRDefault="0046125B" w:rsidP="008B1C35">
      <w:pPr>
        <w:spacing w:line="240" w:lineRule="auto"/>
      </w:pPr>
      <w:r>
        <w:separator/>
      </w:r>
    </w:p>
  </w:endnote>
  <w:endnote w:type="continuationSeparator" w:id="0">
    <w:p w14:paraId="47481D98" w14:textId="77777777" w:rsidR="0046125B" w:rsidRDefault="0046125B" w:rsidP="008B1C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EFF9D" w14:textId="77777777" w:rsidR="002B0193" w:rsidRDefault="002B0193" w:rsidP="002B0193">
    <w:pPr>
      <w:pStyle w:val="aa"/>
      <w:jc w:val="center"/>
    </w:pPr>
    <w:r>
      <w:t>S</w:t>
    </w:r>
    <w:sdt>
      <w:sdtPr>
        <w:id w:val="1294104135"/>
        <w:docPartObj>
          <w:docPartGallery w:val="Page Numbers (Bottom of Page)"/>
          <w:docPartUnique/>
        </w:docPartObj>
      </w:sdtPr>
      <w:sdtContent>
        <w:r>
          <w:fldChar w:fldCharType="begin"/>
        </w:r>
        <w:r>
          <w:instrText>PAGE   \* MERGEFORMAT</w:instrText>
        </w:r>
        <w:r>
          <w:fldChar w:fldCharType="separate"/>
        </w:r>
        <w:r>
          <w:t>1</w:t>
        </w:r>
        <w:r>
          <w:fldChar w:fldCharType="end"/>
        </w:r>
      </w:sdtContent>
    </w:sdt>
  </w:p>
  <w:p w14:paraId="609214D8" w14:textId="77777777" w:rsidR="002B0193" w:rsidRDefault="002B0193" w:rsidP="002B0193">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9D4A91" w14:textId="77777777" w:rsidR="0046125B" w:rsidRDefault="0046125B" w:rsidP="008B1C35">
      <w:pPr>
        <w:spacing w:line="240" w:lineRule="auto"/>
      </w:pPr>
      <w:r>
        <w:separator/>
      </w:r>
    </w:p>
  </w:footnote>
  <w:footnote w:type="continuationSeparator" w:id="0">
    <w:p w14:paraId="172A59AE" w14:textId="77777777" w:rsidR="0046125B" w:rsidRDefault="0046125B" w:rsidP="008B1C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15729B"/>
    <w:multiLevelType w:val="hybridMultilevel"/>
    <w:tmpl w:val="2334CD8A"/>
    <w:lvl w:ilvl="0" w:tplc="BF06D50A">
      <w:start w:val="1"/>
      <w:numFmt w:val="decimal"/>
      <w:lvlText w:val="%1."/>
      <w:lvlJc w:val="left"/>
      <w:pPr>
        <w:ind w:left="360" w:hanging="360"/>
      </w:pPr>
      <w:rPr>
        <w:rFonts w:ascii="Times New Roman" w:eastAsiaTheme="minorEastAsia"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5706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248"/>
    <w:rsid w:val="00000436"/>
    <w:rsid w:val="00000D8E"/>
    <w:rsid w:val="0000414A"/>
    <w:rsid w:val="00004B39"/>
    <w:rsid w:val="00021BBB"/>
    <w:rsid w:val="000256B7"/>
    <w:rsid w:val="000373E8"/>
    <w:rsid w:val="00040402"/>
    <w:rsid w:val="000507C6"/>
    <w:rsid w:val="00054850"/>
    <w:rsid w:val="000656A8"/>
    <w:rsid w:val="00081997"/>
    <w:rsid w:val="00082EDE"/>
    <w:rsid w:val="00084ADE"/>
    <w:rsid w:val="000853E3"/>
    <w:rsid w:val="00093830"/>
    <w:rsid w:val="0009511C"/>
    <w:rsid w:val="000B50F6"/>
    <w:rsid w:val="000B5C3C"/>
    <w:rsid w:val="000B7E18"/>
    <w:rsid w:val="000D253B"/>
    <w:rsid w:val="000F56C4"/>
    <w:rsid w:val="00104B95"/>
    <w:rsid w:val="00107149"/>
    <w:rsid w:val="001110E3"/>
    <w:rsid w:val="00123F91"/>
    <w:rsid w:val="00152824"/>
    <w:rsid w:val="0019049E"/>
    <w:rsid w:val="001A1F62"/>
    <w:rsid w:val="00211799"/>
    <w:rsid w:val="0022339C"/>
    <w:rsid w:val="00247F6E"/>
    <w:rsid w:val="00254B10"/>
    <w:rsid w:val="00257949"/>
    <w:rsid w:val="00267DCB"/>
    <w:rsid w:val="0027470C"/>
    <w:rsid w:val="00290E9C"/>
    <w:rsid w:val="0029345F"/>
    <w:rsid w:val="00293FF0"/>
    <w:rsid w:val="00296C26"/>
    <w:rsid w:val="002B0193"/>
    <w:rsid w:val="002E2D3A"/>
    <w:rsid w:val="002E35E6"/>
    <w:rsid w:val="0030584C"/>
    <w:rsid w:val="00323BB5"/>
    <w:rsid w:val="00324409"/>
    <w:rsid w:val="0034091A"/>
    <w:rsid w:val="003533AA"/>
    <w:rsid w:val="00357EBD"/>
    <w:rsid w:val="003662AE"/>
    <w:rsid w:val="00371BA1"/>
    <w:rsid w:val="00395F8E"/>
    <w:rsid w:val="003C0064"/>
    <w:rsid w:val="003C0BE7"/>
    <w:rsid w:val="003C10DF"/>
    <w:rsid w:val="00400B62"/>
    <w:rsid w:val="00444450"/>
    <w:rsid w:val="004523FE"/>
    <w:rsid w:val="004573C3"/>
    <w:rsid w:val="0046125B"/>
    <w:rsid w:val="0047239D"/>
    <w:rsid w:val="0047273B"/>
    <w:rsid w:val="004F2B01"/>
    <w:rsid w:val="005103D1"/>
    <w:rsid w:val="00512BD2"/>
    <w:rsid w:val="005232F5"/>
    <w:rsid w:val="00556B4B"/>
    <w:rsid w:val="00577CE6"/>
    <w:rsid w:val="00596235"/>
    <w:rsid w:val="00597CDD"/>
    <w:rsid w:val="005C67F7"/>
    <w:rsid w:val="006079D1"/>
    <w:rsid w:val="00614A98"/>
    <w:rsid w:val="00631862"/>
    <w:rsid w:val="0064711C"/>
    <w:rsid w:val="006971EF"/>
    <w:rsid w:val="00697437"/>
    <w:rsid w:val="006A757C"/>
    <w:rsid w:val="006B4D35"/>
    <w:rsid w:val="006D1EB6"/>
    <w:rsid w:val="006D517D"/>
    <w:rsid w:val="006E031D"/>
    <w:rsid w:val="006E3BCC"/>
    <w:rsid w:val="0071586A"/>
    <w:rsid w:val="0072198F"/>
    <w:rsid w:val="00762A78"/>
    <w:rsid w:val="00773A5C"/>
    <w:rsid w:val="007A763F"/>
    <w:rsid w:val="007C2AD3"/>
    <w:rsid w:val="007C4543"/>
    <w:rsid w:val="00810241"/>
    <w:rsid w:val="00830F1F"/>
    <w:rsid w:val="00834C9D"/>
    <w:rsid w:val="00845795"/>
    <w:rsid w:val="00850C91"/>
    <w:rsid w:val="00863258"/>
    <w:rsid w:val="00871378"/>
    <w:rsid w:val="00897CFA"/>
    <w:rsid w:val="008B1C35"/>
    <w:rsid w:val="008B4D2B"/>
    <w:rsid w:val="008C589E"/>
    <w:rsid w:val="008E55CF"/>
    <w:rsid w:val="008F214D"/>
    <w:rsid w:val="008F58B6"/>
    <w:rsid w:val="009428D1"/>
    <w:rsid w:val="00944F9B"/>
    <w:rsid w:val="00966DF8"/>
    <w:rsid w:val="00975B91"/>
    <w:rsid w:val="009A342A"/>
    <w:rsid w:val="009E1D47"/>
    <w:rsid w:val="00A002A5"/>
    <w:rsid w:val="00A039E1"/>
    <w:rsid w:val="00A14FA3"/>
    <w:rsid w:val="00A51D8E"/>
    <w:rsid w:val="00A6319D"/>
    <w:rsid w:val="00AB4E90"/>
    <w:rsid w:val="00AD7DF2"/>
    <w:rsid w:val="00B02BF7"/>
    <w:rsid w:val="00B10932"/>
    <w:rsid w:val="00B13FDD"/>
    <w:rsid w:val="00B47623"/>
    <w:rsid w:val="00B90386"/>
    <w:rsid w:val="00B94095"/>
    <w:rsid w:val="00BA641F"/>
    <w:rsid w:val="00BC28E5"/>
    <w:rsid w:val="00BD1521"/>
    <w:rsid w:val="00BD66CC"/>
    <w:rsid w:val="00BD7809"/>
    <w:rsid w:val="00BE4DE3"/>
    <w:rsid w:val="00BE77AF"/>
    <w:rsid w:val="00BF08F0"/>
    <w:rsid w:val="00BF75C8"/>
    <w:rsid w:val="00C15A86"/>
    <w:rsid w:val="00C17C8D"/>
    <w:rsid w:val="00C3045E"/>
    <w:rsid w:val="00C31C31"/>
    <w:rsid w:val="00C47511"/>
    <w:rsid w:val="00C606AE"/>
    <w:rsid w:val="00C73A61"/>
    <w:rsid w:val="00C913A1"/>
    <w:rsid w:val="00CB550E"/>
    <w:rsid w:val="00CE77F0"/>
    <w:rsid w:val="00CE790C"/>
    <w:rsid w:val="00CF2E33"/>
    <w:rsid w:val="00D056F3"/>
    <w:rsid w:val="00D14BE1"/>
    <w:rsid w:val="00D153C9"/>
    <w:rsid w:val="00D21DC4"/>
    <w:rsid w:val="00D26AE3"/>
    <w:rsid w:val="00D3234D"/>
    <w:rsid w:val="00D50983"/>
    <w:rsid w:val="00D80D47"/>
    <w:rsid w:val="00D97435"/>
    <w:rsid w:val="00DA54FE"/>
    <w:rsid w:val="00DC78D5"/>
    <w:rsid w:val="00DD7136"/>
    <w:rsid w:val="00DF351D"/>
    <w:rsid w:val="00E2561D"/>
    <w:rsid w:val="00E31DA8"/>
    <w:rsid w:val="00E376FC"/>
    <w:rsid w:val="00E43B94"/>
    <w:rsid w:val="00E4563D"/>
    <w:rsid w:val="00E4576B"/>
    <w:rsid w:val="00E56845"/>
    <w:rsid w:val="00E7266C"/>
    <w:rsid w:val="00E906B8"/>
    <w:rsid w:val="00EC6E84"/>
    <w:rsid w:val="00EC7EBE"/>
    <w:rsid w:val="00ED4BB8"/>
    <w:rsid w:val="00EE5248"/>
    <w:rsid w:val="00EF54C2"/>
    <w:rsid w:val="00F15BD2"/>
    <w:rsid w:val="00F22FB2"/>
    <w:rsid w:val="00F33719"/>
    <w:rsid w:val="00F66F55"/>
    <w:rsid w:val="00F8547A"/>
    <w:rsid w:val="00F87F2C"/>
    <w:rsid w:val="00FB2A70"/>
    <w:rsid w:val="00FB4965"/>
    <w:rsid w:val="00FB716E"/>
    <w:rsid w:val="00FC30D0"/>
    <w:rsid w:val="00FC4D83"/>
    <w:rsid w:val="00FE29D8"/>
    <w:rsid w:val="00FE2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0CDF9"/>
  <w14:defaultImageDpi w14:val="32767"/>
  <w15:chartTrackingRefBased/>
  <w15:docId w15:val="{A398FD19-D92D-4357-BDDD-5BB7304A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7CDD"/>
    <w:pPr>
      <w:spacing w:after="0" w:line="360" w:lineRule="auto"/>
    </w:pPr>
  </w:style>
  <w:style w:type="paragraph" w:styleId="1">
    <w:name w:val="heading 1"/>
    <w:basedOn w:val="a"/>
    <w:next w:val="a"/>
    <w:link w:val="10"/>
    <w:uiPriority w:val="9"/>
    <w:qFormat/>
    <w:rsid w:val="000D253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D253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D253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0D253B"/>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D253B"/>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0D253B"/>
    <w:pPr>
      <w:keepNext/>
      <w:keepLines/>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0D253B"/>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0D25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D253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E5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0D253B"/>
    <w:rPr>
      <w:color w:val="808080"/>
    </w:rPr>
  </w:style>
  <w:style w:type="paragraph" w:customStyle="1" w:styleId="CitaviBibliographyEntry">
    <w:name w:val="Citavi Bibliography Entry"/>
    <w:basedOn w:val="a"/>
    <w:link w:val="CitaviBibliographyEntry0"/>
    <w:uiPriority w:val="99"/>
    <w:rsid w:val="000D253B"/>
    <w:pPr>
      <w:tabs>
        <w:tab w:val="left" w:pos="340"/>
      </w:tabs>
      <w:ind w:left="340" w:hanging="340"/>
    </w:pPr>
  </w:style>
  <w:style w:type="character" w:customStyle="1" w:styleId="CitaviBibliographyEntry0">
    <w:name w:val="Citavi Bibliography Entry 字符"/>
    <w:basedOn w:val="a0"/>
    <w:link w:val="CitaviBibliographyEntry"/>
    <w:uiPriority w:val="99"/>
    <w:rsid w:val="000D253B"/>
  </w:style>
  <w:style w:type="paragraph" w:customStyle="1" w:styleId="CitaviBibliographyHeading">
    <w:name w:val="Citavi Bibliography Heading"/>
    <w:basedOn w:val="1"/>
    <w:link w:val="CitaviBibliographyHeading0"/>
    <w:uiPriority w:val="99"/>
    <w:rsid w:val="000D253B"/>
  </w:style>
  <w:style w:type="character" w:customStyle="1" w:styleId="CitaviBibliographyHeading0">
    <w:name w:val="Citavi Bibliography Heading 字符"/>
    <w:basedOn w:val="a0"/>
    <w:link w:val="CitaviBibliographyHeading"/>
    <w:uiPriority w:val="99"/>
    <w:rsid w:val="000D253B"/>
    <w:rPr>
      <w:rFonts w:asciiTheme="majorHAnsi" w:eastAsiaTheme="majorEastAsia" w:hAnsiTheme="majorHAnsi" w:cstheme="majorBidi"/>
      <w:color w:val="2F5496" w:themeColor="accent1" w:themeShade="BF"/>
      <w:sz w:val="32"/>
      <w:szCs w:val="32"/>
    </w:rPr>
  </w:style>
  <w:style w:type="character" w:customStyle="1" w:styleId="10">
    <w:name w:val="标题 1 字符"/>
    <w:basedOn w:val="a0"/>
    <w:link w:val="1"/>
    <w:uiPriority w:val="9"/>
    <w:rsid w:val="000D253B"/>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2"/>
    <w:link w:val="CitaviChapterBibliographyHeading0"/>
    <w:uiPriority w:val="99"/>
    <w:rsid w:val="000D253B"/>
  </w:style>
  <w:style w:type="character" w:customStyle="1" w:styleId="CitaviChapterBibliographyHeading0">
    <w:name w:val="Citavi Chapter Bibliography Heading 字符"/>
    <w:basedOn w:val="a0"/>
    <w:link w:val="CitaviChapterBibliographyHeading"/>
    <w:uiPriority w:val="99"/>
    <w:rsid w:val="000D253B"/>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rsid w:val="000D253B"/>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2"/>
    <w:link w:val="CitaviBibliographySubheading10"/>
    <w:uiPriority w:val="99"/>
    <w:rsid w:val="000D253B"/>
    <w:pPr>
      <w:outlineLvl w:val="9"/>
    </w:pPr>
    <w:rPr>
      <w:rFonts w:ascii="Times New Roman" w:hAnsi="Times New Roman" w:cs="Times New Roman"/>
      <w:bCs/>
      <w:color w:val="000000"/>
      <w:sz w:val="24"/>
      <w:szCs w:val="24"/>
    </w:rPr>
  </w:style>
  <w:style w:type="character" w:customStyle="1" w:styleId="CitaviBibliographySubheading10">
    <w:name w:val="Citavi Bibliography Subheading 1 字符"/>
    <w:basedOn w:val="a0"/>
    <w:link w:val="CitaviBibliographySubheading1"/>
    <w:uiPriority w:val="99"/>
    <w:rsid w:val="000D253B"/>
    <w:rPr>
      <w:rFonts w:ascii="Times New Roman" w:eastAsiaTheme="majorEastAsia" w:hAnsi="Times New Roman" w:cs="Times New Roman"/>
      <w:bCs/>
      <w:color w:val="000000"/>
      <w:sz w:val="24"/>
      <w:szCs w:val="24"/>
    </w:rPr>
  </w:style>
  <w:style w:type="paragraph" w:customStyle="1" w:styleId="CitaviBibliographySubheading2">
    <w:name w:val="Citavi Bibliography Subheading 2"/>
    <w:basedOn w:val="3"/>
    <w:link w:val="CitaviBibliographySubheading20"/>
    <w:uiPriority w:val="99"/>
    <w:rsid w:val="000D253B"/>
    <w:pPr>
      <w:outlineLvl w:val="9"/>
    </w:pPr>
    <w:rPr>
      <w:rFonts w:ascii="Times New Roman" w:hAnsi="Times New Roman" w:cs="Times New Roman"/>
      <w:bCs/>
      <w:color w:val="000000"/>
    </w:rPr>
  </w:style>
  <w:style w:type="character" w:customStyle="1" w:styleId="CitaviBibliographySubheading20">
    <w:name w:val="Citavi Bibliography Subheading 2 字符"/>
    <w:basedOn w:val="a0"/>
    <w:link w:val="CitaviBibliographySubheading2"/>
    <w:uiPriority w:val="99"/>
    <w:rsid w:val="000D253B"/>
    <w:rPr>
      <w:rFonts w:ascii="Times New Roman" w:eastAsiaTheme="majorEastAsia" w:hAnsi="Times New Roman" w:cs="Times New Roman"/>
      <w:bCs/>
      <w:color w:val="000000"/>
      <w:sz w:val="24"/>
      <w:szCs w:val="24"/>
    </w:rPr>
  </w:style>
  <w:style w:type="character" w:customStyle="1" w:styleId="30">
    <w:name w:val="标题 3 字符"/>
    <w:basedOn w:val="a0"/>
    <w:link w:val="3"/>
    <w:uiPriority w:val="9"/>
    <w:semiHidden/>
    <w:rsid w:val="000D253B"/>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4"/>
    <w:link w:val="CitaviBibliographySubheading30"/>
    <w:uiPriority w:val="99"/>
    <w:rsid w:val="000D253B"/>
    <w:pPr>
      <w:outlineLvl w:val="9"/>
    </w:pPr>
    <w:rPr>
      <w:rFonts w:ascii="Times New Roman" w:hAnsi="Times New Roman" w:cs="Times New Roman"/>
      <w:bCs/>
      <w:color w:val="000000"/>
      <w:sz w:val="24"/>
      <w:szCs w:val="24"/>
    </w:rPr>
  </w:style>
  <w:style w:type="character" w:customStyle="1" w:styleId="CitaviBibliographySubheading30">
    <w:name w:val="Citavi Bibliography Subheading 3 字符"/>
    <w:basedOn w:val="a0"/>
    <w:link w:val="CitaviBibliographySubheading3"/>
    <w:uiPriority w:val="99"/>
    <w:rsid w:val="000D253B"/>
    <w:rPr>
      <w:rFonts w:ascii="Times New Roman" w:eastAsiaTheme="majorEastAsia" w:hAnsi="Times New Roman" w:cs="Times New Roman"/>
      <w:bCs/>
      <w:i/>
      <w:iCs/>
      <w:color w:val="000000"/>
      <w:sz w:val="24"/>
      <w:szCs w:val="24"/>
    </w:rPr>
  </w:style>
  <w:style w:type="character" w:customStyle="1" w:styleId="40">
    <w:name w:val="标题 4 字符"/>
    <w:basedOn w:val="a0"/>
    <w:link w:val="4"/>
    <w:uiPriority w:val="9"/>
    <w:semiHidden/>
    <w:rsid w:val="000D253B"/>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5"/>
    <w:link w:val="CitaviBibliographySubheading40"/>
    <w:uiPriority w:val="99"/>
    <w:rsid w:val="000D253B"/>
    <w:pPr>
      <w:outlineLvl w:val="9"/>
    </w:pPr>
    <w:rPr>
      <w:rFonts w:ascii="Times New Roman" w:hAnsi="Times New Roman" w:cs="Times New Roman"/>
      <w:bCs/>
      <w:color w:val="000000"/>
      <w:sz w:val="24"/>
      <w:szCs w:val="24"/>
    </w:rPr>
  </w:style>
  <w:style w:type="character" w:customStyle="1" w:styleId="CitaviBibliographySubheading40">
    <w:name w:val="Citavi Bibliography Subheading 4 字符"/>
    <w:basedOn w:val="a0"/>
    <w:link w:val="CitaviBibliographySubheading4"/>
    <w:uiPriority w:val="99"/>
    <w:rsid w:val="000D253B"/>
    <w:rPr>
      <w:rFonts w:ascii="Times New Roman" w:eastAsiaTheme="majorEastAsia" w:hAnsi="Times New Roman" w:cs="Times New Roman"/>
      <w:bCs/>
      <w:color w:val="000000"/>
      <w:sz w:val="24"/>
      <w:szCs w:val="24"/>
    </w:rPr>
  </w:style>
  <w:style w:type="character" w:customStyle="1" w:styleId="50">
    <w:name w:val="标题 5 字符"/>
    <w:basedOn w:val="a0"/>
    <w:link w:val="5"/>
    <w:uiPriority w:val="9"/>
    <w:semiHidden/>
    <w:rsid w:val="000D253B"/>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6"/>
    <w:link w:val="CitaviBibliographySubheading50"/>
    <w:uiPriority w:val="99"/>
    <w:rsid w:val="000D253B"/>
    <w:pPr>
      <w:outlineLvl w:val="9"/>
    </w:pPr>
    <w:rPr>
      <w:rFonts w:ascii="Times New Roman" w:hAnsi="Times New Roman" w:cs="Times New Roman"/>
      <w:bCs/>
      <w:color w:val="000000"/>
      <w:sz w:val="24"/>
      <w:szCs w:val="24"/>
    </w:rPr>
  </w:style>
  <w:style w:type="character" w:customStyle="1" w:styleId="CitaviBibliographySubheading50">
    <w:name w:val="Citavi Bibliography Subheading 5 字符"/>
    <w:basedOn w:val="a0"/>
    <w:link w:val="CitaviBibliographySubheading5"/>
    <w:uiPriority w:val="99"/>
    <w:rsid w:val="000D253B"/>
    <w:rPr>
      <w:rFonts w:ascii="Times New Roman" w:eastAsiaTheme="majorEastAsia" w:hAnsi="Times New Roman" w:cs="Times New Roman"/>
      <w:bCs/>
      <w:color w:val="000000"/>
      <w:sz w:val="24"/>
      <w:szCs w:val="24"/>
    </w:rPr>
  </w:style>
  <w:style w:type="character" w:customStyle="1" w:styleId="60">
    <w:name w:val="标题 6 字符"/>
    <w:basedOn w:val="a0"/>
    <w:link w:val="6"/>
    <w:uiPriority w:val="9"/>
    <w:semiHidden/>
    <w:rsid w:val="000D253B"/>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7"/>
    <w:link w:val="CitaviBibliographySubheading60"/>
    <w:uiPriority w:val="99"/>
    <w:rsid w:val="000D253B"/>
    <w:pPr>
      <w:outlineLvl w:val="9"/>
    </w:pPr>
    <w:rPr>
      <w:rFonts w:ascii="Times New Roman" w:hAnsi="Times New Roman" w:cs="Times New Roman"/>
      <w:bCs/>
      <w:color w:val="000000"/>
      <w:sz w:val="24"/>
      <w:szCs w:val="24"/>
    </w:rPr>
  </w:style>
  <w:style w:type="character" w:customStyle="1" w:styleId="CitaviBibliographySubheading60">
    <w:name w:val="Citavi Bibliography Subheading 6 字符"/>
    <w:basedOn w:val="a0"/>
    <w:link w:val="CitaviBibliographySubheading6"/>
    <w:uiPriority w:val="99"/>
    <w:rsid w:val="000D253B"/>
    <w:rPr>
      <w:rFonts w:ascii="Times New Roman" w:eastAsiaTheme="majorEastAsia" w:hAnsi="Times New Roman" w:cs="Times New Roman"/>
      <w:bCs/>
      <w:i/>
      <w:iCs/>
      <w:color w:val="000000"/>
      <w:sz w:val="24"/>
      <w:szCs w:val="24"/>
    </w:rPr>
  </w:style>
  <w:style w:type="character" w:customStyle="1" w:styleId="70">
    <w:name w:val="标题 7 字符"/>
    <w:basedOn w:val="a0"/>
    <w:link w:val="7"/>
    <w:uiPriority w:val="9"/>
    <w:semiHidden/>
    <w:rsid w:val="000D253B"/>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8"/>
    <w:link w:val="CitaviBibliographySubheading70"/>
    <w:uiPriority w:val="99"/>
    <w:rsid w:val="000D253B"/>
    <w:pPr>
      <w:outlineLvl w:val="9"/>
    </w:pPr>
    <w:rPr>
      <w:rFonts w:ascii="Times New Roman" w:hAnsi="Times New Roman" w:cs="Times New Roman"/>
      <w:bCs/>
      <w:color w:val="000000"/>
      <w:sz w:val="24"/>
      <w:szCs w:val="24"/>
    </w:rPr>
  </w:style>
  <w:style w:type="character" w:customStyle="1" w:styleId="CitaviBibliographySubheading70">
    <w:name w:val="Citavi Bibliography Subheading 7 字符"/>
    <w:basedOn w:val="a0"/>
    <w:link w:val="CitaviBibliographySubheading7"/>
    <w:uiPriority w:val="99"/>
    <w:rsid w:val="000D253B"/>
    <w:rPr>
      <w:rFonts w:ascii="Times New Roman" w:eastAsiaTheme="majorEastAsia" w:hAnsi="Times New Roman" w:cs="Times New Roman"/>
      <w:bCs/>
      <w:color w:val="000000"/>
      <w:sz w:val="24"/>
      <w:szCs w:val="24"/>
    </w:rPr>
  </w:style>
  <w:style w:type="character" w:customStyle="1" w:styleId="80">
    <w:name w:val="标题 8 字符"/>
    <w:basedOn w:val="a0"/>
    <w:link w:val="8"/>
    <w:uiPriority w:val="9"/>
    <w:semiHidden/>
    <w:rsid w:val="000D253B"/>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9"/>
    <w:link w:val="CitaviBibliographySubheading80"/>
    <w:uiPriority w:val="99"/>
    <w:rsid w:val="000D253B"/>
    <w:pPr>
      <w:outlineLvl w:val="9"/>
    </w:pPr>
    <w:rPr>
      <w:rFonts w:ascii="Times New Roman" w:hAnsi="Times New Roman" w:cs="Times New Roman"/>
      <w:bCs/>
      <w:color w:val="000000"/>
      <w:sz w:val="24"/>
      <w:szCs w:val="24"/>
    </w:rPr>
  </w:style>
  <w:style w:type="character" w:customStyle="1" w:styleId="CitaviBibliographySubheading80">
    <w:name w:val="Citavi Bibliography Subheading 8 字符"/>
    <w:basedOn w:val="a0"/>
    <w:link w:val="CitaviBibliographySubheading8"/>
    <w:uiPriority w:val="99"/>
    <w:rsid w:val="000D253B"/>
    <w:rPr>
      <w:rFonts w:ascii="Times New Roman" w:eastAsiaTheme="majorEastAsia" w:hAnsi="Times New Roman" w:cs="Times New Roman"/>
      <w:bCs/>
      <w:i/>
      <w:iCs/>
      <w:color w:val="000000"/>
      <w:sz w:val="24"/>
      <w:szCs w:val="24"/>
    </w:rPr>
  </w:style>
  <w:style w:type="character" w:customStyle="1" w:styleId="90">
    <w:name w:val="标题 9 字符"/>
    <w:basedOn w:val="a0"/>
    <w:link w:val="9"/>
    <w:uiPriority w:val="9"/>
    <w:semiHidden/>
    <w:rsid w:val="000D253B"/>
    <w:rPr>
      <w:rFonts w:asciiTheme="majorHAnsi" w:eastAsiaTheme="majorEastAsia" w:hAnsiTheme="majorHAnsi" w:cstheme="majorBidi"/>
      <w:i/>
      <w:iCs/>
      <w:color w:val="272727" w:themeColor="text1" w:themeTint="D8"/>
      <w:sz w:val="21"/>
      <w:szCs w:val="21"/>
    </w:rPr>
  </w:style>
  <w:style w:type="character" w:styleId="a5">
    <w:name w:val="Strong"/>
    <w:basedOn w:val="a0"/>
    <w:uiPriority w:val="22"/>
    <w:qFormat/>
    <w:rsid w:val="00A039E1"/>
    <w:rPr>
      <w:b/>
      <w:bCs/>
    </w:rPr>
  </w:style>
  <w:style w:type="character" w:styleId="a6">
    <w:name w:val="Emphasis"/>
    <w:basedOn w:val="a0"/>
    <w:uiPriority w:val="20"/>
    <w:qFormat/>
    <w:rsid w:val="00A039E1"/>
    <w:rPr>
      <w:i/>
      <w:iCs/>
    </w:rPr>
  </w:style>
  <w:style w:type="character" w:styleId="a7">
    <w:name w:val="Hyperlink"/>
    <w:basedOn w:val="a0"/>
    <w:uiPriority w:val="99"/>
    <w:unhideWhenUsed/>
    <w:rsid w:val="003533AA"/>
    <w:rPr>
      <w:color w:val="0000FF"/>
      <w:u w:val="single"/>
    </w:rPr>
  </w:style>
  <w:style w:type="paragraph" w:styleId="a8">
    <w:name w:val="header"/>
    <w:basedOn w:val="a"/>
    <w:link w:val="a9"/>
    <w:uiPriority w:val="99"/>
    <w:unhideWhenUsed/>
    <w:rsid w:val="008B1C35"/>
    <w:pPr>
      <w:tabs>
        <w:tab w:val="center" w:pos="4320"/>
        <w:tab w:val="right" w:pos="8640"/>
      </w:tabs>
      <w:spacing w:line="240" w:lineRule="auto"/>
    </w:pPr>
  </w:style>
  <w:style w:type="character" w:customStyle="1" w:styleId="a9">
    <w:name w:val="页眉 字符"/>
    <w:basedOn w:val="a0"/>
    <w:link w:val="a8"/>
    <w:uiPriority w:val="99"/>
    <w:rsid w:val="008B1C35"/>
  </w:style>
  <w:style w:type="paragraph" w:styleId="aa">
    <w:name w:val="footer"/>
    <w:basedOn w:val="a"/>
    <w:link w:val="ab"/>
    <w:uiPriority w:val="99"/>
    <w:unhideWhenUsed/>
    <w:rsid w:val="008B1C35"/>
    <w:pPr>
      <w:tabs>
        <w:tab w:val="center" w:pos="4320"/>
        <w:tab w:val="right" w:pos="8640"/>
      </w:tabs>
      <w:spacing w:line="240" w:lineRule="auto"/>
    </w:pPr>
  </w:style>
  <w:style w:type="character" w:customStyle="1" w:styleId="ab">
    <w:name w:val="页脚 字符"/>
    <w:basedOn w:val="a0"/>
    <w:link w:val="aa"/>
    <w:uiPriority w:val="99"/>
    <w:rsid w:val="008B1C35"/>
  </w:style>
  <w:style w:type="paragraph" w:styleId="TOC2">
    <w:name w:val="toc 2"/>
    <w:basedOn w:val="a"/>
    <w:next w:val="a"/>
    <w:uiPriority w:val="39"/>
    <w:rsid w:val="00FE2F5A"/>
    <w:pPr>
      <w:widowControl w:val="0"/>
      <w:spacing w:line="300" w:lineRule="auto"/>
      <w:ind w:firstLineChars="100" w:firstLine="100"/>
      <w:jc w:val="both"/>
    </w:pPr>
    <w:rPr>
      <w:rFonts w:ascii="Times New Roman" w:eastAsia="宋体" w:hAnsi="Times New Roman" w:cs="Times New Roman"/>
      <w:bCs/>
      <w:kern w:val="2"/>
      <w:sz w:val="24"/>
      <w:szCs w:val="20"/>
    </w:rPr>
  </w:style>
  <w:style w:type="paragraph" w:styleId="TOC1">
    <w:name w:val="toc 1"/>
    <w:basedOn w:val="a"/>
    <w:next w:val="a"/>
    <w:autoRedefine/>
    <w:uiPriority w:val="39"/>
    <w:unhideWhenUsed/>
    <w:rsid w:val="00FE2F5A"/>
    <w:pPr>
      <w:widowControl w:val="0"/>
      <w:tabs>
        <w:tab w:val="right" w:leader="middleDot" w:pos="8630"/>
      </w:tabs>
      <w:spacing w:line="240" w:lineRule="auto"/>
      <w:ind w:firstLineChars="100" w:firstLine="240"/>
      <w:jc w:val="both"/>
    </w:pPr>
    <w:rPr>
      <w:rFonts w:eastAsia="Times New Roman" w:cs="Times New Roman"/>
      <w:noProof/>
      <w:kern w:val="2"/>
      <w:sz w:val="21"/>
    </w:rPr>
  </w:style>
  <w:style w:type="paragraph" w:styleId="ac">
    <w:name w:val="List Paragraph"/>
    <w:basedOn w:val="a"/>
    <w:uiPriority w:val="34"/>
    <w:qFormat/>
    <w:rsid w:val="002B0193"/>
    <w:pPr>
      <w:ind w:left="720"/>
      <w:contextualSpacing/>
    </w:pPr>
  </w:style>
  <w:style w:type="paragraph" w:styleId="ad">
    <w:name w:val="Revision"/>
    <w:hidden/>
    <w:uiPriority w:val="99"/>
    <w:semiHidden/>
    <w:rsid w:val="00D97435"/>
    <w:pPr>
      <w:spacing w:after="0" w:line="240" w:lineRule="auto"/>
    </w:pPr>
  </w:style>
  <w:style w:type="character" w:styleId="ae">
    <w:name w:val="Unresolved Mention"/>
    <w:basedOn w:val="a0"/>
    <w:uiPriority w:val="99"/>
    <w:semiHidden/>
    <w:unhideWhenUsed/>
    <w:rsid w:val="009A3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521728">
      <w:bodyDiv w:val="1"/>
      <w:marLeft w:val="0"/>
      <w:marRight w:val="0"/>
      <w:marTop w:val="0"/>
      <w:marBottom w:val="0"/>
      <w:divBdr>
        <w:top w:val="none" w:sz="0" w:space="0" w:color="auto"/>
        <w:left w:val="none" w:sz="0" w:space="0" w:color="auto"/>
        <w:bottom w:val="none" w:sz="0" w:space="0" w:color="auto"/>
        <w:right w:val="none" w:sz="0" w:space="0" w:color="auto"/>
      </w:divBdr>
      <w:divsChild>
        <w:div w:id="922958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7880F-28BF-41BA-9A9E-0B7FA9B68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2024</Words>
  <Characters>11542</Characters>
  <Application>Microsoft Office Word</Application>
  <DocSecurity>0</DocSecurity>
  <Lines>96</Lines>
  <Paragraphs>27</Paragraphs>
  <ScaleCrop>false</ScaleCrop>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ziyan</dc:creator>
  <cp:keywords/>
  <dc:description/>
  <cp:lastModifiedBy>ziyan gao</cp:lastModifiedBy>
  <cp:revision>2</cp:revision>
  <dcterms:created xsi:type="dcterms:W3CDTF">2024-06-03T10:01:00Z</dcterms:created>
  <dcterms:modified xsi:type="dcterms:W3CDTF">2024-06-03T10:01:00Z</dcterms:modified>
</cp:coreProperties>
</file>