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3A79" w14:textId="479B1D91" w:rsidR="00AE7F95" w:rsidRPr="00AE7F95" w:rsidRDefault="00AE7F95" w:rsidP="00AE7F95">
      <w:pPr>
        <w:spacing w:after="0" w:line="276" w:lineRule="auto"/>
        <w:rPr>
          <w:rFonts w:ascii="Calibri" w:eastAsia="Calibri" w:hAnsi="Calibri" w:cs="Times New Roman"/>
          <w:kern w:val="0"/>
          <w:sz w:val="22"/>
          <w:szCs w:val="22"/>
          <w14:ligatures w14:val="none"/>
        </w:rPr>
      </w:pPr>
      <w:r w:rsidRPr="00AE7F95">
        <w:rPr>
          <w:rFonts w:ascii="Calibri" w:eastAsia="Calibri" w:hAnsi="Calibri" w:cs="Times New Roman"/>
          <w:color w:val="EE0000"/>
          <w:kern w:val="0"/>
          <w:sz w:val="22"/>
          <w:szCs w:val="22"/>
          <w14:ligatures w14:val="none"/>
        </w:rPr>
        <w:t>[NY</w:t>
      </w:r>
      <w:r w:rsidRPr="00AE7F95">
        <w:rPr>
          <w:rFonts w:ascii="Calibri" w:eastAsia="Calibri" w:hAnsi="Calibri" w:cs="Times New Roman"/>
          <w:color w:val="EE0000"/>
          <w:kern w:val="0"/>
          <w:sz w:val="22"/>
          <w:szCs w:val="22"/>
          <w14:ligatures w14:val="none"/>
        </w:rPr>
        <w:t>_CASE_LAW</w:t>
      </w:r>
      <w:r w:rsidRPr="00AE7F95">
        <w:rPr>
          <w:rFonts w:ascii="Calibri" w:eastAsia="Calibri" w:hAnsi="Calibri" w:cs="Times New Roman"/>
          <w:color w:val="EE0000"/>
          <w:kern w:val="0"/>
          <w:sz w:val="22"/>
          <w:szCs w:val="22"/>
          <w14:ligatures w14:val="none"/>
        </w:rPr>
        <w:t>]</w:t>
      </w:r>
      <w:r>
        <w:rPr>
          <w:rFonts w:ascii="Calibri" w:eastAsia="Calibri" w:hAnsi="Calibri" w:cs="Times New Roman"/>
          <w:kern w:val="0"/>
          <w:sz w:val="22"/>
          <w:szCs w:val="22"/>
          <w14:ligatures w14:val="none"/>
        </w:rPr>
        <w:t>:</w:t>
      </w:r>
      <w:r w:rsidRPr="00AE7F95">
        <w:rPr>
          <w:rFonts w:ascii="Calibri" w:eastAsia="Calibri" w:hAnsi="Calibri" w:cs="Times New Roman"/>
          <w:kern w:val="0"/>
          <w:sz w:val="22"/>
          <w:szCs w:val="22"/>
          <w14:ligatures w14:val="none"/>
        </w:rPr>
        <w:t xml:space="preserve"> The case of </w:t>
      </w:r>
      <w:bookmarkStart w:id="0" w:name="OLE_LINK3"/>
      <w:bookmarkStart w:id="1" w:name="OLE_LINK4"/>
      <w:r w:rsidRPr="00AE7F95">
        <w:rPr>
          <w:rFonts w:ascii="Calibri" w:eastAsia="Calibri" w:hAnsi="Calibri" w:cs="Times New Roman"/>
          <w:i/>
          <w:kern w:val="0"/>
          <w:sz w:val="22"/>
          <w:szCs w:val="22"/>
          <w14:ligatures w14:val="none"/>
        </w:rPr>
        <w:t>N.Y.C. Transit Authority v. Horner 873 N.Y.S. 2d 513; 2008</w:t>
      </w:r>
      <w:r w:rsidRPr="00AE7F95">
        <w:rPr>
          <w:rFonts w:ascii="Calibri" w:eastAsia="Calibri" w:hAnsi="Calibri" w:cs="Times New Roman"/>
          <w:kern w:val="0"/>
          <w:sz w:val="22"/>
          <w:szCs w:val="22"/>
          <w14:ligatures w14:val="none"/>
        </w:rPr>
        <w:t xml:space="preserve"> </w:t>
      </w:r>
      <w:bookmarkEnd w:id="0"/>
      <w:bookmarkEnd w:id="1"/>
      <w:r w:rsidRPr="00AE7F95">
        <w:rPr>
          <w:rFonts w:ascii="Calibri" w:eastAsia="Calibri" w:hAnsi="Calibri" w:cs="Times New Roman"/>
          <w:kern w:val="0"/>
          <w:sz w:val="22"/>
          <w:szCs w:val="22"/>
          <w14:ligatures w14:val="none"/>
        </w:rPr>
        <w:t xml:space="preserve">allows us to use “reasonable rental rate” of like in kind vehicle as the measure of damages regardless of </w:t>
      </w:r>
      <w:proofErr w:type="gramStart"/>
      <w:r w:rsidRPr="00AE7F95">
        <w:rPr>
          <w:rFonts w:ascii="Calibri" w:eastAsia="Calibri" w:hAnsi="Calibri" w:cs="Times New Roman"/>
          <w:kern w:val="0"/>
          <w:sz w:val="22"/>
          <w:szCs w:val="22"/>
          <w14:ligatures w14:val="none"/>
        </w:rPr>
        <w:t>whether or not</w:t>
      </w:r>
      <w:proofErr w:type="gramEnd"/>
      <w:r w:rsidRPr="00AE7F95">
        <w:rPr>
          <w:rFonts w:ascii="Calibri" w:eastAsia="Calibri" w:hAnsi="Calibri" w:cs="Times New Roman"/>
          <w:kern w:val="0"/>
          <w:sz w:val="22"/>
          <w:szCs w:val="22"/>
          <w14:ligatures w14:val="none"/>
        </w:rPr>
        <w:t xml:space="preserve"> a replacement vehicle was </w:t>
      </w:r>
      <w:proofErr w:type="gramStart"/>
      <w:r w:rsidRPr="00AE7F95">
        <w:rPr>
          <w:rFonts w:ascii="Calibri" w:eastAsia="Calibri" w:hAnsi="Calibri" w:cs="Times New Roman"/>
          <w:kern w:val="0"/>
          <w:sz w:val="22"/>
          <w:szCs w:val="22"/>
          <w14:ligatures w14:val="none"/>
        </w:rPr>
        <w:t>actually rented</w:t>
      </w:r>
      <w:proofErr w:type="gramEnd"/>
      <w:r w:rsidRPr="00AE7F95">
        <w:rPr>
          <w:rFonts w:ascii="Calibri" w:eastAsia="Calibri" w:hAnsi="Calibri" w:cs="Times New Roman"/>
          <w:kern w:val="0"/>
          <w:sz w:val="22"/>
          <w:szCs w:val="22"/>
          <w14:ligatures w14:val="none"/>
        </w:rPr>
        <w:t>.</w:t>
      </w:r>
    </w:p>
    <w:p w14:paraId="539B2579" w14:textId="77777777" w:rsidR="00AE7F95" w:rsidRPr="00AE7F95" w:rsidRDefault="00AE7F95" w:rsidP="00AE7F95">
      <w:pPr>
        <w:spacing w:after="0" w:line="276" w:lineRule="auto"/>
        <w:ind w:left="720" w:right="720"/>
        <w:rPr>
          <w:rFonts w:ascii="Calibri" w:eastAsia="Calibri" w:hAnsi="Calibri" w:cs="Times New Roman"/>
          <w:kern w:val="0"/>
          <w:sz w:val="22"/>
          <w:szCs w:val="22"/>
          <w14:ligatures w14:val="none"/>
        </w:rPr>
      </w:pPr>
      <w:r w:rsidRPr="00AE7F95">
        <w:rPr>
          <w:rFonts w:ascii="Calibri" w:eastAsia="Calibri" w:hAnsi="Calibri" w:cs="Times New Roman"/>
          <w:b/>
          <w:i/>
          <w:kern w:val="0"/>
          <w:sz w:val="22"/>
          <w:szCs w:val="22"/>
          <w14:ligatures w14:val="none"/>
        </w:rPr>
        <w:t xml:space="preserve">“It would be unjust to compel the owner of [a vehicle] to hire another [replacement vehicle] </w:t>
      </w:r>
      <w:proofErr w:type="gramStart"/>
      <w:r w:rsidRPr="00AE7F95">
        <w:rPr>
          <w:rFonts w:ascii="Calibri" w:eastAsia="Calibri" w:hAnsi="Calibri" w:cs="Times New Roman"/>
          <w:b/>
          <w:i/>
          <w:kern w:val="0"/>
          <w:sz w:val="22"/>
          <w:szCs w:val="22"/>
          <w14:ligatures w14:val="none"/>
        </w:rPr>
        <w:t>in order to</w:t>
      </w:r>
      <w:proofErr w:type="gramEnd"/>
      <w:r w:rsidRPr="00AE7F95">
        <w:rPr>
          <w:rFonts w:ascii="Calibri" w:eastAsia="Calibri" w:hAnsi="Calibri" w:cs="Times New Roman"/>
          <w:b/>
          <w:i/>
          <w:kern w:val="0"/>
          <w:sz w:val="22"/>
          <w:szCs w:val="22"/>
          <w14:ligatures w14:val="none"/>
        </w:rPr>
        <w:t xml:space="preserve"> entitle him to claim compensation of the loss of use of his own. The rule today is to allow such damages irrespective of whether a replacement vehicle is rented. </w:t>
      </w:r>
      <w:proofErr w:type="gramStart"/>
      <w:r w:rsidRPr="00AE7F95">
        <w:rPr>
          <w:rFonts w:ascii="Calibri" w:eastAsia="Calibri" w:hAnsi="Calibri" w:cs="Times New Roman"/>
          <w:b/>
          <w:i/>
          <w:kern w:val="0"/>
          <w:sz w:val="22"/>
          <w:szCs w:val="22"/>
          <w14:ligatures w14:val="none"/>
        </w:rPr>
        <w:t>A rental</w:t>
      </w:r>
      <w:proofErr w:type="gramEnd"/>
      <w:r w:rsidRPr="00AE7F95">
        <w:rPr>
          <w:rFonts w:ascii="Calibri" w:eastAsia="Calibri" w:hAnsi="Calibri" w:cs="Times New Roman"/>
          <w:b/>
          <w:i/>
          <w:kern w:val="0"/>
          <w:sz w:val="22"/>
          <w:szCs w:val="22"/>
          <w14:ligatures w14:val="none"/>
        </w:rPr>
        <w:t xml:space="preserve"> value of a substitute vehicle is a permissible method to determine loss of use </w:t>
      </w:r>
      <w:proofErr w:type="gramStart"/>
      <w:r w:rsidRPr="00AE7F95">
        <w:rPr>
          <w:rFonts w:ascii="Calibri" w:eastAsia="Calibri" w:hAnsi="Calibri" w:cs="Times New Roman"/>
          <w:b/>
          <w:i/>
          <w:kern w:val="0"/>
          <w:sz w:val="22"/>
          <w:szCs w:val="22"/>
          <w14:ligatures w14:val="none"/>
        </w:rPr>
        <w:t>damages.”</w:t>
      </w:r>
      <w:proofErr w:type="gramEnd"/>
      <w:r w:rsidRPr="00AE7F95">
        <w:rPr>
          <w:rFonts w:ascii="Calibri" w:eastAsia="Calibri" w:hAnsi="Calibri" w:cs="Times New Roman"/>
          <w:b/>
          <w:i/>
          <w:kern w:val="0"/>
          <w:sz w:val="22"/>
          <w:szCs w:val="22"/>
          <w14:ligatures w14:val="none"/>
        </w:rPr>
        <w:t xml:space="preserve"> </w:t>
      </w:r>
      <w:r w:rsidRPr="00AE7F95">
        <w:rPr>
          <w:rFonts w:ascii="Calibri" w:eastAsia="Calibri" w:hAnsi="Calibri" w:cs="Times New Roman"/>
          <w:kern w:val="0"/>
          <w:sz w:val="22"/>
          <w:szCs w:val="22"/>
          <w14:ligatures w14:val="none"/>
        </w:rPr>
        <w:t xml:space="preserve">See N.Y.C. Transit Authority v. Horner 873 N.Y.S. 2d 513; 2008 case law attached. </w:t>
      </w:r>
    </w:p>
    <w:p w14:paraId="01F973FE" w14:textId="77777777" w:rsidR="00AE7F95" w:rsidRPr="00AE7F95" w:rsidRDefault="00AE7F95" w:rsidP="00AE7F95">
      <w:pPr>
        <w:spacing w:after="0" w:line="276" w:lineRule="auto"/>
        <w:ind w:left="720" w:right="720"/>
        <w:rPr>
          <w:rFonts w:ascii="Calibri" w:eastAsia="Calibri" w:hAnsi="Calibri" w:cs="Times New Roman"/>
          <w:kern w:val="0"/>
          <w:sz w:val="22"/>
          <w:szCs w:val="22"/>
          <w14:ligatures w14:val="none"/>
        </w:rPr>
      </w:pPr>
    </w:p>
    <w:p w14:paraId="59E3935D" w14:textId="77777777" w:rsidR="00AE7F95" w:rsidRPr="00AE7F95" w:rsidRDefault="00AE7F95" w:rsidP="00AE7F95">
      <w:pPr>
        <w:spacing w:after="0" w:line="276" w:lineRule="auto"/>
        <w:rPr>
          <w:rFonts w:ascii="Calibri" w:eastAsia="Calibri" w:hAnsi="Calibri" w:cs="Times New Roman"/>
          <w:kern w:val="0"/>
          <w:sz w:val="22"/>
          <w:szCs w:val="22"/>
          <w14:ligatures w14:val="none"/>
        </w:rPr>
      </w:pPr>
      <w:r w:rsidRPr="00AE7F95">
        <w:rPr>
          <w:rFonts w:ascii="Calibri" w:eastAsia="Calibri" w:hAnsi="Calibri" w:cs="Times New Roman"/>
          <w:kern w:val="0"/>
          <w:sz w:val="22"/>
          <w:szCs w:val="22"/>
          <w14:ligatures w14:val="none"/>
        </w:rPr>
        <w:t xml:space="preserve">The case of </w:t>
      </w:r>
      <w:bookmarkStart w:id="2" w:name="OLE_LINK5"/>
      <w:bookmarkStart w:id="3" w:name="OLE_LINK6"/>
      <w:r w:rsidRPr="00AE7F95">
        <w:rPr>
          <w:rFonts w:ascii="Calibri" w:eastAsia="Calibri" w:hAnsi="Calibri" w:cs="Times New Roman"/>
          <w:i/>
          <w:kern w:val="0"/>
          <w:sz w:val="22"/>
          <w:szCs w:val="22"/>
          <w14:ligatures w14:val="none"/>
        </w:rPr>
        <w:t>Mountain View Coach Lines v. Storms, 476 N.Y.S. 2d 918, 1984</w:t>
      </w:r>
      <w:bookmarkEnd w:id="2"/>
      <w:bookmarkEnd w:id="3"/>
      <w:r w:rsidRPr="00AE7F95">
        <w:rPr>
          <w:rFonts w:ascii="Calibri" w:eastAsia="Calibri" w:hAnsi="Calibri" w:cs="Times New Roman"/>
          <w:kern w:val="0"/>
          <w:sz w:val="22"/>
          <w:szCs w:val="22"/>
          <w14:ligatures w14:val="none"/>
        </w:rPr>
        <w:t xml:space="preserve"> directs that plaintiffs be paid loss of use damages even if they have a replacement vehicle available. </w:t>
      </w:r>
    </w:p>
    <w:p w14:paraId="0A994A8E" w14:textId="77777777" w:rsidR="00AE7F95" w:rsidRDefault="00AE7F95" w:rsidP="00AE7F95">
      <w:pPr>
        <w:spacing w:after="0" w:line="276" w:lineRule="auto"/>
        <w:ind w:left="720" w:right="720"/>
        <w:jc w:val="both"/>
        <w:rPr>
          <w:rFonts w:ascii="Calibri" w:eastAsia="Calibri" w:hAnsi="Calibri" w:cs="Times New Roman"/>
          <w:kern w:val="0"/>
          <w:sz w:val="22"/>
          <w:szCs w:val="22"/>
          <w14:ligatures w14:val="none"/>
        </w:rPr>
      </w:pPr>
      <w:r w:rsidRPr="00AE7F95">
        <w:rPr>
          <w:rFonts w:ascii="Calibri" w:eastAsia="Calibri" w:hAnsi="Calibri" w:cs="Times New Roman"/>
          <w:b/>
          <w:i/>
          <w:kern w:val="0"/>
          <w:sz w:val="22"/>
          <w:szCs w:val="22"/>
          <w14:ligatures w14:val="none"/>
        </w:rPr>
        <w:t xml:space="preserve">“It is beyond dispute that where a motor vehicle is harmed </w:t>
      </w:r>
      <w:proofErr w:type="gramStart"/>
      <w:r w:rsidRPr="00AE7F95">
        <w:rPr>
          <w:rFonts w:ascii="Calibri" w:eastAsia="Calibri" w:hAnsi="Calibri" w:cs="Times New Roman"/>
          <w:b/>
          <w:i/>
          <w:kern w:val="0"/>
          <w:sz w:val="22"/>
          <w:szCs w:val="22"/>
          <w14:ligatures w14:val="none"/>
        </w:rPr>
        <w:t>as a result of</w:t>
      </w:r>
      <w:proofErr w:type="gramEnd"/>
      <w:r w:rsidRPr="00AE7F95">
        <w:rPr>
          <w:rFonts w:ascii="Calibri" w:eastAsia="Calibri" w:hAnsi="Calibri" w:cs="Times New Roman"/>
          <w:b/>
          <w:i/>
          <w:kern w:val="0"/>
          <w:sz w:val="22"/>
          <w:szCs w:val="22"/>
          <w14:ligatures w14:val="none"/>
        </w:rPr>
        <w:t xml:space="preserve"> a tortuous act, the plaintiff is entitled to damages for loss of use during the time reasonably required to make repair. There is no logical or practical reason why a distinction should be drawn between cases in which a substitute vehicle is </w:t>
      </w:r>
      <w:proofErr w:type="gramStart"/>
      <w:r w:rsidRPr="00AE7F95">
        <w:rPr>
          <w:rFonts w:ascii="Calibri" w:eastAsia="Calibri" w:hAnsi="Calibri" w:cs="Times New Roman"/>
          <w:b/>
          <w:i/>
          <w:kern w:val="0"/>
          <w:sz w:val="22"/>
          <w:szCs w:val="22"/>
          <w14:ligatures w14:val="none"/>
        </w:rPr>
        <w:t>actually hired</w:t>
      </w:r>
      <w:proofErr w:type="gramEnd"/>
      <w:r w:rsidRPr="00AE7F95">
        <w:rPr>
          <w:rFonts w:ascii="Calibri" w:eastAsia="Calibri" w:hAnsi="Calibri" w:cs="Times New Roman"/>
          <w:b/>
          <w:i/>
          <w:kern w:val="0"/>
          <w:sz w:val="22"/>
          <w:szCs w:val="22"/>
          <w14:ligatures w14:val="none"/>
        </w:rPr>
        <w:t xml:space="preserve"> and those in which plaintiff utilizes a spare.” </w:t>
      </w:r>
      <w:r w:rsidRPr="00AE7F95">
        <w:rPr>
          <w:rFonts w:ascii="Calibri" w:eastAsia="Calibri" w:hAnsi="Calibri" w:cs="Times New Roman"/>
          <w:kern w:val="0"/>
          <w:sz w:val="22"/>
          <w:szCs w:val="22"/>
          <w14:ligatures w14:val="none"/>
        </w:rPr>
        <w:t xml:space="preserve">See Mountain View Coach Lines v. Storms, 476 N.Y.S. 2d 918, 1984 case law attached. </w:t>
      </w:r>
    </w:p>
    <w:p w14:paraId="404F33E1" w14:textId="77777777" w:rsidR="00AE7F95" w:rsidRPr="00AE7F95" w:rsidRDefault="00AE7F95" w:rsidP="00AE7F95">
      <w:pPr>
        <w:spacing w:after="0" w:line="276" w:lineRule="auto"/>
        <w:ind w:left="720" w:right="720"/>
        <w:jc w:val="both"/>
        <w:rPr>
          <w:rFonts w:ascii="Calibri" w:eastAsia="Calibri" w:hAnsi="Calibri" w:cs="Times New Roman"/>
          <w:kern w:val="0"/>
          <w:sz w:val="22"/>
          <w:szCs w:val="22"/>
          <w14:ligatures w14:val="none"/>
        </w:rPr>
      </w:pPr>
    </w:p>
    <w:p w14:paraId="56ACEDBA" w14:textId="44AD7BBB" w:rsidR="008413A7" w:rsidRDefault="00AE7F95">
      <w:pPr>
        <w:rPr>
          <w:rFonts w:ascii="Calibri" w:eastAsia="Calibri" w:hAnsi="Calibri" w:cs="Calibri"/>
          <w:kern w:val="0"/>
          <w:sz w:val="22"/>
          <w:szCs w:val="22"/>
          <w14:ligatures w14:val="none"/>
        </w:rPr>
      </w:pPr>
      <w:r w:rsidRPr="00AE7F95">
        <w:rPr>
          <w:rFonts w:ascii="Calibri" w:eastAsia="Times New Roman" w:hAnsi="Calibri" w:cs="Calibri"/>
          <w:color w:val="EE0000"/>
          <w:kern w:val="0"/>
          <w:sz w:val="22"/>
          <w:szCs w:val="22"/>
          <w14:ligatures w14:val="none"/>
        </w:rPr>
        <w:t>[</w:t>
      </w:r>
      <w:r>
        <w:rPr>
          <w:rFonts w:ascii="Calibri" w:eastAsia="Times New Roman" w:hAnsi="Calibri" w:cs="Calibri"/>
          <w:color w:val="EE0000"/>
          <w:kern w:val="0"/>
          <w:sz w:val="22"/>
          <w:szCs w:val="22"/>
          <w14:ligatures w14:val="none"/>
        </w:rPr>
        <w:t>NY</w:t>
      </w:r>
      <w:r w:rsidRPr="00AE7F95">
        <w:rPr>
          <w:rFonts w:ascii="Calibri" w:eastAsia="Times New Roman" w:hAnsi="Calibri" w:cs="Calibri"/>
          <w:color w:val="EE0000"/>
          <w:kern w:val="0"/>
          <w:sz w:val="22"/>
          <w:szCs w:val="22"/>
          <w14:ligatures w14:val="none"/>
        </w:rPr>
        <w:t>_PROGRESSIVE_CASE_LAW]</w:t>
      </w:r>
      <w:r w:rsidRPr="00AE7F95">
        <w:rPr>
          <w:rFonts w:ascii="Calibri" w:eastAsia="Times New Roman" w:hAnsi="Calibri" w:cs="Calibri"/>
          <w:color w:val="000000" w:themeColor="text1"/>
          <w:kern w:val="0"/>
          <w:sz w:val="22"/>
          <w:szCs w:val="22"/>
          <w14:ligatures w14:val="none"/>
        </w:rPr>
        <w:t>:</w:t>
      </w:r>
      <w:r w:rsidRPr="00AE7F95">
        <w:rPr>
          <w:rFonts w:ascii="Calibri" w:eastAsia="Times New Roman" w:hAnsi="Calibri" w:cs="Calibri"/>
          <w:color w:val="EE0000"/>
          <w:kern w:val="0"/>
          <w:sz w:val="22"/>
          <w:szCs w:val="22"/>
          <w14:ligatures w14:val="none"/>
        </w:rPr>
        <w:t xml:space="preserve"> </w:t>
      </w:r>
      <w:r w:rsidRPr="00AE7F95">
        <w:rPr>
          <w:rFonts w:ascii="Calibri" w:eastAsia="Calibri" w:hAnsi="Calibri" w:cs="Calibri"/>
          <w:b/>
          <w:i/>
          <w:kern w:val="0"/>
          <w:sz w:val="22"/>
          <w:szCs w:val="22"/>
          <w14:ligatures w14:val="none"/>
        </w:rPr>
        <w:t xml:space="preserve">“It is beyond dispute that where a motor vehicle is harmed </w:t>
      </w:r>
      <w:proofErr w:type="gramStart"/>
      <w:r w:rsidRPr="00AE7F95">
        <w:rPr>
          <w:rFonts w:ascii="Calibri" w:eastAsia="Calibri" w:hAnsi="Calibri" w:cs="Calibri"/>
          <w:b/>
          <w:i/>
          <w:kern w:val="0"/>
          <w:sz w:val="22"/>
          <w:szCs w:val="22"/>
          <w14:ligatures w14:val="none"/>
        </w:rPr>
        <w:t>as a result of</w:t>
      </w:r>
      <w:proofErr w:type="gramEnd"/>
      <w:r w:rsidRPr="00AE7F95">
        <w:rPr>
          <w:rFonts w:ascii="Calibri" w:eastAsia="Calibri" w:hAnsi="Calibri" w:cs="Calibri"/>
          <w:b/>
          <w:i/>
          <w:kern w:val="0"/>
          <w:sz w:val="22"/>
          <w:szCs w:val="22"/>
          <w14:ligatures w14:val="none"/>
        </w:rPr>
        <w:t xml:space="preserve"> a tortuous act, the plaintiff is entitled to damages for loss of use during the time reasonably required to make repair. There is no logical or practical reason why a distinction should be drawn between cases in which a substitute vehicle is </w:t>
      </w:r>
      <w:proofErr w:type="gramStart"/>
      <w:r w:rsidRPr="00AE7F95">
        <w:rPr>
          <w:rFonts w:ascii="Calibri" w:eastAsia="Calibri" w:hAnsi="Calibri" w:cs="Calibri"/>
          <w:b/>
          <w:i/>
          <w:kern w:val="0"/>
          <w:sz w:val="22"/>
          <w:szCs w:val="22"/>
          <w14:ligatures w14:val="none"/>
        </w:rPr>
        <w:t>actually hired</w:t>
      </w:r>
      <w:proofErr w:type="gramEnd"/>
      <w:r w:rsidRPr="00AE7F95">
        <w:rPr>
          <w:rFonts w:ascii="Calibri" w:eastAsia="Calibri" w:hAnsi="Calibri" w:cs="Calibri"/>
          <w:b/>
          <w:i/>
          <w:kern w:val="0"/>
          <w:sz w:val="22"/>
          <w:szCs w:val="22"/>
          <w14:ligatures w14:val="none"/>
        </w:rPr>
        <w:t xml:space="preserve"> and those in which plaintiff utilizes a spare.” </w:t>
      </w:r>
      <w:r w:rsidRPr="00AE7F95">
        <w:rPr>
          <w:rFonts w:ascii="Calibri" w:eastAsia="Calibri" w:hAnsi="Calibri" w:cs="Calibri"/>
          <w:kern w:val="0"/>
          <w:sz w:val="22"/>
          <w:szCs w:val="22"/>
          <w14:ligatures w14:val="none"/>
        </w:rPr>
        <w:t xml:space="preserve">Mountain View Coach Lines v. Storms, 476 N.Y.S. 2d 918, 1984 case law attached. </w:t>
      </w:r>
    </w:p>
    <w:p w14:paraId="58903545" w14:textId="28C2DFED" w:rsidR="008413A7" w:rsidRPr="008413A7" w:rsidRDefault="008413A7" w:rsidP="008413A7">
      <w:pPr>
        <w:spacing w:after="0" w:line="276" w:lineRule="auto"/>
        <w:rPr>
          <w:rFonts w:ascii="Calibri" w:eastAsia="Calibri" w:hAnsi="Calibri" w:cs="Times New Roman"/>
          <w:kern w:val="0"/>
          <w:sz w:val="22"/>
          <w:szCs w:val="22"/>
          <w14:ligatures w14:val="none"/>
        </w:rPr>
      </w:pPr>
      <w:r w:rsidRPr="00AE7F95">
        <w:rPr>
          <w:rFonts w:ascii="Calibri" w:eastAsia="Calibri" w:hAnsi="Calibri" w:cs="Times New Roman"/>
          <w:color w:val="EE0000"/>
          <w:kern w:val="0"/>
          <w:sz w:val="22"/>
          <w:szCs w:val="22"/>
          <w14:ligatures w14:val="none"/>
        </w:rPr>
        <w:t>[</w:t>
      </w:r>
      <w:r>
        <w:rPr>
          <w:rFonts w:ascii="Calibri" w:eastAsia="Calibri" w:hAnsi="Calibri" w:cs="Times New Roman"/>
          <w:color w:val="EE0000"/>
          <w:kern w:val="0"/>
          <w:sz w:val="22"/>
          <w:szCs w:val="22"/>
          <w14:ligatures w14:val="none"/>
        </w:rPr>
        <w:t>TN</w:t>
      </w:r>
      <w:r w:rsidRPr="00AE7F95">
        <w:rPr>
          <w:rFonts w:ascii="Calibri" w:eastAsia="Calibri" w:hAnsi="Calibri" w:cs="Times New Roman"/>
          <w:color w:val="EE0000"/>
          <w:kern w:val="0"/>
          <w:sz w:val="22"/>
          <w:szCs w:val="22"/>
          <w14:ligatures w14:val="none"/>
        </w:rPr>
        <w:t>_CASE_LAW]</w:t>
      </w:r>
      <w:r>
        <w:rPr>
          <w:rFonts w:ascii="Calibri" w:eastAsia="Calibri" w:hAnsi="Calibri" w:cs="Times New Roman"/>
          <w:kern w:val="0"/>
          <w:sz w:val="22"/>
          <w:szCs w:val="22"/>
          <w14:ligatures w14:val="none"/>
        </w:rPr>
        <w:t>:</w:t>
      </w:r>
      <w:r w:rsidRPr="00AE7F95">
        <w:rPr>
          <w:rFonts w:ascii="Calibri" w:eastAsia="Calibri" w:hAnsi="Calibri" w:cs="Times New Roman"/>
          <w:kern w:val="0"/>
          <w:sz w:val="22"/>
          <w:szCs w:val="22"/>
          <w14:ligatures w14:val="none"/>
        </w:rPr>
        <w:t xml:space="preserve"> </w:t>
      </w:r>
      <w:r w:rsidRPr="008413A7">
        <w:rPr>
          <w:rFonts w:ascii="Calibri" w:eastAsia="Calibri" w:hAnsi="Calibri" w:cs="Times New Roman"/>
          <w:kern w:val="0"/>
          <w:sz w:val="22"/>
          <w:szCs w:val="22"/>
          <w14:ligatures w14:val="none"/>
        </w:rPr>
        <w:t xml:space="preserve">The case of </w:t>
      </w:r>
      <w:r w:rsidRPr="008413A7">
        <w:rPr>
          <w:rFonts w:ascii="Calibri" w:eastAsia="Calibri" w:hAnsi="Calibri" w:cs="Times New Roman"/>
          <w:i/>
          <w:kern w:val="0"/>
          <w:sz w:val="22"/>
          <w:szCs w:val="22"/>
          <w14:ligatures w14:val="none"/>
        </w:rPr>
        <w:t>Perkins v. Brown, Supreme Court of Tennessee, Jackson 132 Tenn. 294; 177 S.W. 1158; (1915)</w:t>
      </w:r>
      <w:r w:rsidRPr="008413A7">
        <w:rPr>
          <w:rFonts w:ascii="Calibri" w:eastAsia="Calibri" w:hAnsi="Calibri" w:cs="Times New Roman"/>
          <w:kern w:val="0"/>
          <w:sz w:val="22"/>
          <w:szCs w:val="22"/>
          <w14:ligatures w14:val="none"/>
        </w:rPr>
        <w:t xml:space="preserve"> instructs that plaintiffs may be reimbursed for loss of use damages in addition to property damages and solidifies the concept of loss of use.</w:t>
      </w:r>
    </w:p>
    <w:p w14:paraId="2F587128" w14:textId="77777777" w:rsidR="008413A7" w:rsidRPr="008413A7" w:rsidRDefault="008413A7" w:rsidP="008413A7">
      <w:pPr>
        <w:spacing w:after="0" w:line="276" w:lineRule="auto"/>
        <w:rPr>
          <w:rFonts w:ascii="Calibri" w:eastAsia="Calibri" w:hAnsi="Calibri" w:cs="Times New Roman"/>
          <w:kern w:val="0"/>
          <w:sz w:val="22"/>
          <w:szCs w:val="22"/>
          <w14:ligatures w14:val="none"/>
        </w:rPr>
      </w:pPr>
    </w:p>
    <w:p w14:paraId="6EF9E43E" w14:textId="77777777" w:rsidR="008413A7" w:rsidRPr="008413A7" w:rsidRDefault="008413A7" w:rsidP="008413A7">
      <w:pPr>
        <w:spacing w:after="0" w:line="240" w:lineRule="auto"/>
        <w:ind w:left="720" w:right="720"/>
        <w:rPr>
          <w:rFonts w:ascii="Calibri" w:eastAsia="Calibri" w:hAnsi="Calibri" w:cs="Times New Roman"/>
          <w:i/>
          <w:kern w:val="0"/>
          <w:sz w:val="22"/>
          <w:szCs w:val="22"/>
          <w14:ligatures w14:val="none"/>
        </w:rPr>
      </w:pPr>
      <w:r w:rsidRPr="008413A7">
        <w:rPr>
          <w:rFonts w:ascii="Calibri" w:eastAsia="Calibri" w:hAnsi="Calibri" w:cs="Times New Roman"/>
          <w:b/>
          <w:i/>
          <w:kern w:val="0"/>
          <w:sz w:val="22"/>
          <w:szCs w:val="22"/>
          <w14:ligatures w14:val="none"/>
        </w:rPr>
        <w:t xml:space="preserve">“The owner of a vehicle held for use may recover for the loss of its use, by reason of tortious injury, while being repaired, in addition to the cost of the necessary repairs. The value of the use of personal property is not the mere value of its intended use, but of its present potential use, whether availed of or not by its owner. His right of user, whether for business or pleasure, is absolute, and whoever injures him in the exercise of that right cannot complain when held to respond on that basis.” </w:t>
      </w:r>
      <w:r w:rsidRPr="008413A7">
        <w:rPr>
          <w:rFonts w:ascii="Calibri" w:eastAsia="Calibri" w:hAnsi="Calibri" w:cs="Times New Roman"/>
          <w:kern w:val="0"/>
          <w:sz w:val="22"/>
          <w:szCs w:val="22"/>
          <w14:ligatures w14:val="none"/>
        </w:rPr>
        <w:t>See Perkins v. Brown, Supreme Court of Tennessee, Jackson 132 Tenn. 294; 177 S.W. 1158; (1915) Case law attached.</w:t>
      </w:r>
      <w:r w:rsidRPr="008413A7">
        <w:rPr>
          <w:rFonts w:ascii="Calibri" w:eastAsia="Calibri" w:hAnsi="Calibri" w:cs="Times New Roman"/>
          <w:i/>
          <w:kern w:val="0"/>
          <w:sz w:val="22"/>
          <w:szCs w:val="22"/>
          <w14:ligatures w14:val="none"/>
        </w:rPr>
        <w:t xml:space="preserve"> </w:t>
      </w:r>
    </w:p>
    <w:p w14:paraId="03B62121" w14:textId="77777777" w:rsidR="008413A7" w:rsidRPr="008413A7" w:rsidRDefault="008413A7" w:rsidP="008413A7">
      <w:pPr>
        <w:spacing w:after="0" w:line="240" w:lineRule="auto"/>
        <w:ind w:left="720"/>
        <w:rPr>
          <w:rFonts w:ascii="Calibri" w:eastAsia="Calibri" w:hAnsi="Calibri" w:cs="Times New Roman"/>
          <w:b/>
          <w:i/>
          <w:kern w:val="0"/>
          <w:sz w:val="22"/>
          <w:szCs w:val="22"/>
          <w14:ligatures w14:val="none"/>
        </w:rPr>
      </w:pPr>
    </w:p>
    <w:p w14:paraId="7D21932D" w14:textId="77777777" w:rsidR="008413A7" w:rsidRPr="008413A7" w:rsidRDefault="008413A7" w:rsidP="008413A7">
      <w:pPr>
        <w:spacing w:after="0" w:line="276" w:lineRule="auto"/>
        <w:rPr>
          <w:rFonts w:ascii="Calibri" w:eastAsia="Calibri" w:hAnsi="Calibri" w:cs="Times New Roman"/>
          <w:kern w:val="0"/>
          <w:sz w:val="22"/>
          <w:szCs w:val="22"/>
          <w14:ligatures w14:val="none"/>
        </w:rPr>
      </w:pPr>
      <w:r w:rsidRPr="008413A7">
        <w:rPr>
          <w:rFonts w:ascii="Calibri" w:eastAsia="Calibri" w:hAnsi="Calibri" w:cs="Times New Roman"/>
          <w:kern w:val="0"/>
          <w:sz w:val="22"/>
          <w:szCs w:val="22"/>
          <w14:ligatures w14:val="none"/>
        </w:rPr>
        <w:t xml:space="preserve">The case of </w:t>
      </w:r>
      <w:r w:rsidRPr="008413A7">
        <w:rPr>
          <w:rFonts w:ascii="Calibri" w:eastAsia="Calibri" w:hAnsi="Calibri" w:cs="Times New Roman"/>
          <w:i/>
          <w:kern w:val="0"/>
          <w:sz w:val="22"/>
          <w:szCs w:val="22"/>
          <w14:ligatures w14:val="none"/>
        </w:rPr>
        <w:t xml:space="preserve">Karen Tinker v. Wix Corporation, No. 712 Court </w:t>
      </w:r>
      <w:proofErr w:type="gramStart"/>
      <w:r w:rsidRPr="008413A7">
        <w:rPr>
          <w:rFonts w:ascii="Calibri" w:eastAsia="Calibri" w:hAnsi="Calibri" w:cs="Times New Roman"/>
          <w:i/>
          <w:kern w:val="0"/>
          <w:sz w:val="22"/>
          <w:szCs w:val="22"/>
          <w14:ligatures w14:val="none"/>
        </w:rPr>
        <w:t>Of</w:t>
      </w:r>
      <w:proofErr w:type="gramEnd"/>
      <w:r w:rsidRPr="008413A7">
        <w:rPr>
          <w:rFonts w:ascii="Calibri" w:eastAsia="Calibri" w:hAnsi="Calibri" w:cs="Times New Roman"/>
          <w:i/>
          <w:kern w:val="0"/>
          <w:sz w:val="22"/>
          <w:szCs w:val="22"/>
          <w14:ligatures w14:val="none"/>
        </w:rPr>
        <w:t xml:space="preserve"> Appeals of Tennessee, Western Section (1986)</w:t>
      </w:r>
      <w:r w:rsidRPr="008413A7">
        <w:rPr>
          <w:rFonts w:ascii="Calibri" w:eastAsia="Calibri" w:hAnsi="Calibri" w:cs="Times New Roman"/>
          <w:kern w:val="0"/>
          <w:sz w:val="22"/>
          <w:szCs w:val="22"/>
          <w14:ligatures w14:val="none"/>
        </w:rPr>
        <w:t xml:space="preserve"> directs that plaintiffs be paid loss of use damages in addition to property damages. The case also directs </w:t>
      </w:r>
      <w:proofErr w:type="gramStart"/>
      <w:r w:rsidRPr="008413A7">
        <w:rPr>
          <w:rFonts w:ascii="Calibri" w:eastAsia="Calibri" w:hAnsi="Calibri" w:cs="Times New Roman"/>
          <w:kern w:val="0"/>
          <w:sz w:val="22"/>
          <w:szCs w:val="22"/>
          <w14:ligatures w14:val="none"/>
        </w:rPr>
        <w:t>that plaintiffs be</w:t>
      </w:r>
      <w:proofErr w:type="gramEnd"/>
      <w:r w:rsidRPr="008413A7">
        <w:rPr>
          <w:rFonts w:ascii="Calibri" w:eastAsia="Calibri" w:hAnsi="Calibri" w:cs="Times New Roman"/>
          <w:kern w:val="0"/>
          <w:sz w:val="22"/>
          <w:szCs w:val="22"/>
          <w14:ligatures w14:val="none"/>
        </w:rPr>
        <w:t xml:space="preserve"> compensated for the loss of use of their vehicles regardless of </w:t>
      </w:r>
      <w:proofErr w:type="gramStart"/>
      <w:r w:rsidRPr="008413A7">
        <w:rPr>
          <w:rFonts w:ascii="Calibri" w:eastAsia="Calibri" w:hAnsi="Calibri" w:cs="Times New Roman"/>
          <w:kern w:val="0"/>
          <w:sz w:val="22"/>
          <w:szCs w:val="22"/>
          <w14:ligatures w14:val="none"/>
        </w:rPr>
        <w:t>whether or not</w:t>
      </w:r>
      <w:proofErr w:type="gramEnd"/>
      <w:r w:rsidRPr="008413A7">
        <w:rPr>
          <w:rFonts w:ascii="Calibri" w:eastAsia="Calibri" w:hAnsi="Calibri" w:cs="Times New Roman"/>
          <w:kern w:val="0"/>
          <w:sz w:val="22"/>
          <w:szCs w:val="22"/>
          <w14:ligatures w14:val="none"/>
        </w:rPr>
        <w:t xml:space="preserve"> a replacement vehicle was available and/or rented.</w:t>
      </w:r>
    </w:p>
    <w:p w14:paraId="0C181B4A" w14:textId="77777777" w:rsidR="008413A7" w:rsidRPr="008413A7" w:rsidRDefault="008413A7" w:rsidP="008413A7">
      <w:pPr>
        <w:spacing w:after="0" w:line="276" w:lineRule="auto"/>
        <w:rPr>
          <w:rFonts w:ascii="Calibri" w:eastAsia="Calibri" w:hAnsi="Calibri" w:cs="Times New Roman"/>
          <w:kern w:val="0"/>
          <w:sz w:val="22"/>
          <w:szCs w:val="22"/>
          <w14:ligatures w14:val="none"/>
        </w:rPr>
      </w:pPr>
    </w:p>
    <w:p w14:paraId="13DB95C4" w14:textId="77777777" w:rsidR="008413A7" w:rsidRPr="008413A7" w:rsidRDefault="008413A7" w:rsidP="008413A7">
      <w:pPr>
        <w:spacing w:after="0" w:line="276" w:lineRule="auto"/>
        <w:ind w:left="720" w:right="720"/>
        <w:rPr>
          <w:rFonts w:ascii="Calibri" w:eastAsia="Calibri" w:hAnsi="Calibri" w:cs="Times New Roman"/>
          <w:i/>
          <w:kern w:val="0"/>
          <w:sz w:val="22"/>
          <w:szCs w:val="22"/>
          <w14:ligatures w14:val="none"/>
        </w:rPr>
      </w:pPr>
      <w:r w:rsidRPr="008413A7">
        <w:rPr>
          <w:rFonts w:ascii="Calibri" w:eastAsia="Calibri" w:hAnsi="Calibri" w:cs="Times New Roman"/>
          <w:b/>
          <w:i/>
          <w:kern w:val="0"/>
          <w:sz w:val="22"/>
          <w:szCs w:val="22"/>
          <w14:ligatures w14:val="none"/>
        </w:rPr>
        <w:lastRenderedPageBreak/>
        <w:t xml:space="preserve">“The owner of an automobile […] is entitled to recover for the use of that automobile when that automobile was put out of use due to the defendant's tortious acts even if the owner of the automobile paid nothing for the hire of a substitute automobile. […] Proof of an actual rental in the case of an automobile is not necessary for a plaintiff to recover for loss of its use.” </w:t>
      </w:r>
      <w:r w:rsidRPr="008413A7">
        <w:rPr>
          <w:rFonts w:ascii="Calibri" w:eastAsia="Calibri" w:hAnsi="Calibri" w:cs="Times New Roman"/>
          <w:kern w:val="0"/>
          <w:sz w:val="22"/>
          <w:szCs w:val="22"/>
          <w14:ligatures w14:val="none"/>
        </w:rPr>
        <w:t xml:space="preserve">See Karen Tinker v. Wix Corporation, No. 712 Court </w:t>
      </w:r>
      <w:proofErr w:type="gramStart"/>
      <w:r w:rsidRPr="008413A7">
        <w:rPr>
          <w:rFonts w:ascii="Calibri" w:eastAsia="Calibri" w:hAnsi="Calibri" w:cs="Times New Roman"/>
          <w:kern w:val="0"/>
          <w:sz w:val="22"/>
          <w:szCs w:val="22"/>
          <w14:ligatures w14:val="none"/>
        </w:rPr>
        <w:t>Of</w:t>
      </w:r>
      <w:proofErr w:type="gramEnd"/>
      <w:r w:rsidRPr="008413A7">
        <w:rPr>
          <w:rFonts w:ascii="Calibri" w:eastAsia="Calibri" w:hAnsi="Calibri" w:cs="Times New Roman"/>
          <w:kern w:val="0"/>
          <w:sz w:val="22"/>
          <w:szCs w:val="22"/>
          <w14:ligatures w14:val="none"/>
        </w:rPr>
        <w:t xml:space="preserve"> Appeals of Tennessee, Western Section (1986) case law attached.</w:t>
      </w:r>
      <w:r w:rsidRPr="008413A7">
        <w:rPr>
          <w:rFonts w:ascii="Calibri" w:eastAsia="Calibri" w:hAnsi="Calibri" w:cs="Times New Roman"/>
          <w:i/>
          <w:kern w:val="0"/>
          <w:sz w:val="22"/>
          <w:szCs w:val="22"/>
          <w14:ligatures w14:val="none"/>
        </w:rPr>
        <w:t xml:space="preserve"> </w:t>
      </w:r>
    </w:p>
    <w:p w14:paraId="5B1B0151" w14:textId="77777777" w:rsidR="008413A7" w:rsidRDefault="008413A7">
      <w:pPr>
        <w:rPr>
          <w:rFonts w:ascii="Calibri" w:eastAsia="Times New Roman" w:hAnsi="Calibri" w:cs="Calibri"/>
          <w:color w:val="EE0000"/>
          <w:kern w:val="0"/>
          <w:sz w:val="22"/>
          <w:szCs w:val="22"/>
          <w14:ligatures w14:val="none"/>
        </w:rPr>
      </w:pPr>
    </w:p>
    <w:p w14:paraId="4CC3E559" w14:textId="77777777" w:rsidR="008413A7" w:rsidRPr="008413A7" w:rsidRDefault="008413A7" w:rsidP="008413A7">
      <w:pPr>
        <w:spacing w:after="0" w:line="276" w:lineRule="auto"/>
        <w:ind w:left="720" w:right="720"/>
        <w:rPr>
          <w:rFonts w:ascii="Calibri" w:eastAsia="Calibri" w:hAnsi="Calibri" w:cs="Times New Roman"/>
          <w:i/>
          <w:kern w:val="0"/>
          <w:sz w:val="22"/>
          <w:szCs w:val="22"/>
          <w14:ligatures w14:val="none"/>
        </w:rPr>
      </w:pPr>
      <w:r w:rsidRPr="00AE7F95">
        <w:rPr>
          <w:rFonts w:ascii="Calibri" w:eastAsia="Times New Roman" w:hAnsi="Calibri" w:cs="Calibri"/>
          <w:color w:val="EE0000"/>
          <w:kern w:val="0"/>
          <w:sz w:val="22"/>
          <w:szCs w:val="22"/>
          <w14:ligatures w14:val="none"/>
        </w:rPr>
        <w:t>[</w:t>
      </w:r>
      <w:r>
        <w:rPr>
          <w:rFonts w:ascii="Calibri" w:eastAsia="Times New Roman" w:hAnsi="Calibri" w:cs="Calibri"/>
          <w:color w:val="EE0000"/>
          <w:kern w:val="0"/>
          <w:sz w:val="22"/>
          <w:szCs w:val="22"/>
          <w14:ligatures w14:val="none"/>
        </w:rPr>
        <w:t>TN</w:t>
      </w:r>
      <w:r w:rsidRPr="00AE7F95">
        <w:rPr>
          <w:rFonts w:ascii="Calibri" w:eastAsia="Times New Roman" w:hAnsi="Calibri" w:cs="Calibri"/>
          <w:color w:val="EE0000"/>
          <w:kern w:val="0"/>
          <w:sz w:val="22"/>
          <w:szCs w:val="22"/>
          <w14:ligatures w14:val="none"/>
        </w:rPr>
        <w:t>_PROGRESSIVE_CASE_LAW]</w:t>
      </w:r>
      <w:r w:rsidRPr="00AE7F95">
        <w:rPr>
          <w:rFonts w:ascii="Calibri" w:eastAsia="Times New Roman" w:hAnsi="Calibri" w:cs="Calibri"/>
          <w:color w:val="000000" w:themeColor="text1"/>
          <w:kern w:val="0"/>
          <w:sz w:val="22"/>
          <w:szCs w:val="22"/>
          <w14:ligatures w14:val="none"/>
        </w:rPr>
        <w:t>:</w:t>
      </w:r>
      <w:r>
        <w:rPr>
          <w:rFonts w:ascii="Calibri" w:eastAsia="Times New Roman" w:hAnsi="Calibri" w:cs="Calibri"/>
          <w:color w:val="000000" w:themeColor="text1"/>
          <w:kern w:val="0"/>
          <w:sz w:val="22"/>
          <w:szCs w:val="22"/>
          <w14:ligatures w14:val="none"/>
        </w:rPr>
        <w:t xml:space="preserve"> </w:t>
      </w:r>
      <w:r w:rsidRPr="008413A7">
        <w:rPr>
          <w:rFonts w:ascii="Calibri" w:eastAsia="Calibri" w:hAnsi="Calibri" w:cs="Times New Roman"/>
          <w:b/>
          <w:i/>
          <w:kern w:val="0"/>
          <w:sz w:val="22"/>
          <w:szCs w:val="22"/>
          <w14:ligatures w14:val="none"/>
        </w:rPr>
        <w:t xml:space="preserve">“The owner of an automobile […] is entitled to recover for the use of that automobile when that automobile was put out of use due to the defendant's tortious acts even if the owner of the automobile paid nothing for the hire of a substitute automobile. […] Proof of an actual rental in the case of an automobile is not necessary for a plaintiff to recover for loss of its use.” </w:t>
      </w:r>
      <w:r w:rsidRPr="008413A7">
        <w:rPr>
          <w:rFonts w:ascii="Calibri" w:eastAsia="Calibri" w:hAnsi="Calibri" w:cs="Times New Roman"/>
          <w:kern w:val="0"/>
          <w:sz w:val="22"/>
          <w:szCs w:val="22"/>
          <w14:ligatures w14:val="none"/>
        </w:rPr>
        <w:t xml:space="preserve">See Karen Tinker v. Wix Corporation, No. 712 Court </w:t>
      </w:r>
      <w:proofErr w:type="gramStart"/>
      <w:r w:rsidRPr="008413A7">
        <w:rPr>
          <w:rFonts w:ascii="Calibri" w:eastAsia="Calibri" w:hAnsi="Calibri" w:cs="Times New Roman"/>
          <w:kern w:val="0"/>
          <w:sz w:val="22"/>
          <w:szCs w:val="22"/>
          <w14:ligatures w14:val="none"/>
        </w:rPr>
        <w:t>Of</w:t>
      </w:r>
      <w:proofErr w:type="gramEnd"/>
      <w:r w:rsidRPr="008413A7">
        <w:rPr>
          <w:rFonts w:ascii="Calibri" w:eastAsia="Calibri" w:hAnsi="Calibri" w:cs="Times New Roman"/>
          <w:kern w:val="0"/>
          <w:sz w:val="22"/>
          <w:szCs w:val="22"/>
          <w14:ligatures w14:val="none"/>
        </w:rPr>
        <w:t xml:space="preserve"> Appeals of Tennessee, Western Section (1986) case law attached.</w:t>
      </w:r>
      <w:r w:rsidRPr="008413A7">
        <w:rPr>
          <w:rFonts w:ascii="Calibri" w:eastAsia="Calibri" w:hAnsi="Calibri" w:cs="Times New Roman"/>
          <w:i/>
          <w:kern w:val="0"/>
          <w:sz w:val="22"/>
          <w:szCs w:val="22"/>
          <w14:ligatures w14:val="none"/>
        </w:rPr>
        <w:t xml:space="preserve"> </w:t>
      </w:r>
    </w:p>
    <w:p w14:paraId="4E5BBC86" w14:textId="124263B9" w:rsidR="008413A7" w:rsidRPr="008413A7" w:rsidRDefault="008413A7">
      <w:pPr>
        <w:rPr>
          <w:rFonts w:ascii="Calibri" w:eastAsia="Calibri" w:hAnsi="Calibri" w:cs="Calibri"/>
          <w:kern w:val="0"/>
          <w:sz w:val="22"/>
          <w:szCs w:val="22"/>
          <w14:ligatures w14:val="none"/>
        </w:rPr>
      </w:pPr>
    </w:p>
    <w:sectPr w:rsidR="008413A7" w:rsidRPr="00841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7AF"/>
    <w:rsid w:val="00664ADC"/>
    <w:rsid w:val="008413A7"/>
    <w:rsid w:val="008754F8"/>
    <w:rsid w:val="00A539BD"/>
    <w:rsid w:val="00A977AF"/>
    <w:rsid w:val="00AE7F95"/>
    <w:rsid w:val="00EC4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D2A5"/>
  <w15:chartTrackingRefBased/>
  <w15:docId w15:val="{457755A3-9F38-44E2-984C-5432E6AB5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7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7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7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7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7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7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7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7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7AF"/>
    <w:rPr>
      <w:rFonts w:eastAsiaTheme="majorEastAsia" w:cstheme="majorBidi"/>
      <w:color w:val="272727" w:themeColor="text1" w:themeTint="D8"/>
    </w:rPr>
  </w:style>
  <w:style w:type="paragraph" w:styleId="Title">
    <w:name w:val="Title"/>
    <w:basedOn w:val="Normal"/>
    <w:next w:val="Normal"/>
    <w:link w:val="TitleChar"/>
    <w:uiPriority w:val="10"/>
    <w:qFormat/>
    <w:rsid w:val="00A97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7AF"/>
    <w:pPr>
      <w:spacing w:before="160"/>
      <w:jc w:val="center"/>
    </w:pPr>
    <w:rPr>
      <w:i/>
      <w:iCs/>
      <w:color w:val="404040" w:themeColor="text1" w:themeTint="BF"/>
    </w:rPr>
  </w:style>
  <w:style w:type="character" w:customStyle="1" w:styleId="QuoteChar">
    <w:name w:val="Quote Char"/>
    <w:basedOn w:val="DefaultParagraphFont"/>
    <w:link w:val="Quote"/>
    <w:uiPriority w:val="29"/>
    <w:rsid w:val="00A977AF"/>
    <w:rPr>
      <w:i/>
      <w:iCs/>
      <w:color w:val="404040" w:themeColor="text1" w:themeTint="BF"/>
    </w:rPr>
  </w:style>
  <w:style w:type="paragraph" w:styleId="ListParagraph">
    <w:name w:val="List Paragraph"/>
    <w:basedOn w:val="Normal"/>
    <w:uiPriority w:val="34"/>
    <w:qFormat/>
    <w:rsid w:val="00A977AF"/>
    <w:pPr>
      <w:ind w:left="720"/>
      <w:contextualSpacing/>
    </w:pPr>
  </w:style>
  <w:style w:type="character" w:styleId="IntenseEmphasis">
    <w:name w:val="Intense Emphasis"/>
    <w:basedOn w:val="DefaultParagraphFont"/>
    <w:uiPriority w:val="21"/>
    <w:qFormat/>
    <w:rsid w:val="00A977AF"/>
    <w:rPr>
      <w:i/>
      <w:iCs/>
      <w:color w:val="0F4761" w:themeColor="accent1" w:themeShade="BF"/>
    </w:rPr>
  </w:style>
  <w:style w:type="paragraph" w:styleId="IntenseQuote">
    <w:name w:val="Intense Quote"/>
    <w:basedOn w:val="Normal"/>
    <w:next w:val="Normal"/>
    <w:link w:val="IntenseQuoteChar"/>
    <w:uiPriority w:val="30"/>
    <w:qFormat/>
    <w:rsid w:val="00A97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7AF"/>
    <w:rPr>
      <w:i/>
      <w:iCs/>
      <w:color w:val="0F4761" w:themeColor="accent1" w:themeShade="BF"/>
    </w:rPr>
  </w:style>
  <w:style w:type="character" w:styleId="IntenseReference">
    <w:name w:val="Intense Reference"/>
    <w:basedOn w:val="DefaultParagraphFont"/>
    <w:uiPriority w:val="32"/>
    <w:qFormat/>
    <w:rsid w:val="00A977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Rudd Lowry</dc:creator>
  <cp:keywords/>
  <dc:description/>
  <cp:lastModifiedBy>Rudd Lowry</cp:lastModifiedBy>
  <cp:revision>3</cp:revision>
  <dcterms:created xsi:type="dcterms:W3CDTF">2026-08-21T19:33:00Z</dcterms:created>
  <dcterms:modified xsi:type="dcterms:W3CDTF">2026-08-21T19:47:00Z</dcterms:modified>
</cp:coreProperties>
</file>