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7777777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77777777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14:paraId="6760A95F" w14:textId="77777777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14:paraId="024E7CDA" w14:textId="7777777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77777777"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Hyperlink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Hyperlink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0B2D17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Hyperlink"/>
                <w:noProof/>
              </w:rPr>
              <w:t>1.</w:t>
            </w:r>
            <w:r w:rsidR="008965E3" w:rsidRPr="008965E3">
              <w:rPr>
                <w:rStyle w:val="Hyperlink"/>
                <w:noProof/>
                <w:lang w:val="en-US"/>
              </w:rPr>
              <w:t>1</w:t>
            </w:r>
            <w:r w:rsidR="008965E3" w:rsidRPr="008965E3">
              <w:rPr>
                <w:rStyle w:val="Hyperlink"/>
                <w:noProof/>
              </w:rPr>
              <w:t xml:space="preserve"> Описание Компас-</w:t>
            </w:r>
            <w:r w:rsidR="008965E3" w:rsidRPr="008965E3">
              <w:rPr>
                <w:rStyle w:val="Hyperlink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0B2D17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Hyperlink"/>
                <w:noProof/>
                <w:lang w:val="en-US"/>
              </w:rPr>
              <w:t xml:space="preserve">1.2 </w:t>
            </w:r>
            <w:r w:rsidR="008965E3" w:rsidRPr="008965E3">
              <w:rPr>
                <w:rStyle w:val="Hyperlink"/>
                <w:noProof/>
              </w:rPr>
              <w:t xml:space="preserve">Описание </w:t>
            </w:r>
            <w:r w:rsidR="008965E3" w:rsidRPr="008965E3">
              <w:rPr>
                <w:rStyle w:val="Hyperlink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0B2D17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Hyperlink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0B2D17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Hyperlink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0B2D17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Hyperlink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0B2D17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Hyperlink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0B2D17" w:rsidP="008965E3">
          <w:pPr>
            <w:pStyle w:val="TOC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Hyperlink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0B2D17" w:rsidP="008965E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Hyperlink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Heading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Heading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commentRangeStart w:id="2"/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  <w:commentRangeEnd w:id="2"/>
      <w:r w:rsidR="00213F75">
        <w:rPr>
          <w:rStyle w:val="CommentReference"/>
          <w:rFonts w:ascii="Times New Roman" w:eastAsia="Times New Roman" w:hAnsi="Times New Roman" w:cs="Times New Roman"/>
          <w:color w:val="000000"/>
        </w:rPr>
        <w:commentReference w:id="2"/>
      </w:r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8965E3">
      <w:pPr>
        <w:pStyle w:val="a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Heading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14:paraId="2CD870B9" w14:textId="77777777"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8965E3">
      <w:pPr>
        <w:spacing w:after="0" w:line="360" w:lineRule="auto"/>
        <w:ind w:firstLine="567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TableGrid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14:paraId="2CF50F48" w14:textId="77777777" w:rsidTr="00C909DB">
        <w:trPr>
          <w:trHeight w:val="350"/>
        </w:trPr>
        <w:tc>
          <w:tcPr>
            <w:tcW w:w="3089" w:type="dxa"/>
          </w:tcPr>
          <w:p w14:paraId="4E452840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  <w:proofErr w:type="spellEnd"/>
          </w:p>
        </w:tc>
        <w:tc>
          <w:tcPr>
            <w:tcW w:w="2774" w:type="dxa"/>
          </w:tcPr>
          <w:p w14:paraId="4E25FE55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229AEFFA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7D76D4E1" w14:textId="77777777" w:rsidR="00C909DB" w:rsidRDefault="00C909DB" w:rsidP="008965E3">
      <w:pPr>
        <w:spacing w:after="0" w:line="360" w:lineRule="auto"/>
        <w:jc w:val="both"/>
      </w:pPr>
      <w:commentRangeStart w:id="4"/>
      <w:r>
        <w:t>Продолжение таблицы 1.1</w:t>
      </w:r>
      <w:commentRangeEnd w:id="4"/>
      <w:r w:rsidR="00213F75">
        <w:rPr>
          <w:rStyle w:val="CommentReference"/>
        </w:rPr>
        <w:commentReference w:id="4"/>
      </w:r>
    </w:p>
    <w:tbl>
      <w:tblPr>
        <w:tblStyle w:val="TableGrid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lastRenderedPageBreak/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BodyText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9" w:history="1">
        <w:proofErr w:type="spellStart"/>
        <w:r w:rsidRPr="00C909DB">
          <w:rPr>
            <w:rStyle w:val="Hyperlink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BodyText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0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BodyText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661B13F7" w14:textId="77777777" w:rsidR="00C909DB" w:rsidRDefault="00C909DB" w:rsidP="008965E3">
      <w:pPr>
        <w:spacing w:after="0" w:line="360" w:lineRule="auto"/>
        <w:jc w:val="center"/>
        <w:rPr>
          <w:b/>
          <w:szCs w:val="28"/>
        </w:rPr>
      </w:pPr>
    </w:p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5" w:name="_Toc87873631"/>
      <w:r w:rsidRPr="00AB7E23">
        <w:rPr>
          <w:b/>
        </w:rPr>
        <w:lastRenderedPageBreak/>
        <w:t>1.3 Обзор аналогов</w:t>
      </w:r>
      <w:bookmarkEnd w:id="5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1D826D74" w14:textId="77777777"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[</w:t>
      </w:r>
      <w:r w:rsidR="00C06581" w:rsidRPr="00C06581">
        <w:rPr>
          <w:szCs w:val="28"/>
        </w:rPr>
        <w:t>3]</w:t>
      </w:r>
    </w:p>
    <w:p w14:paraId="2FADB55D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Система состоит из нескольких специализированных редакций: T-FLEX </w:t>
      </w:r>
      <w:proofErr w:type="spellStart"/>
      <w:r w:rsidRPr="007E6F7E">
        <w:rPr>
          <w:szCs w:val="28"/>
        </w:rPr>
        <w:t>Мебель.Салон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Мебель.Конструктор</w:t>
      </w:r>
      <w:proofErr w:type="spellEnd"/>
      <w:r w:rsidRPr="007E6F7E">
        <w:rPr>
          <w:szCs w:val="28"/>
        </w:rPr>
        <w:t xml:space="preserve">, T-FLEX </w:t>
      </w:r>
      <w:proofErr w:type="spellStart"/>
      <w:r w:rsidRPr="007E6F7E">
        <w:rPr>
          <w:szCs w:val="28"/>
        </w:rPr>
        <w:t>Мебель.Эксперт</w:t>
      </w:r>
      <w:proofErr w:type="spellEnd"/>
      <w:r w:rsidRPr="007E6F7E">
        <w:rPr>
          <w:szCs w:val="28"/>
        </w:rPr>
        <w:t>. Каждая из редакций может работать как в составе единого комплекса, так и отдельно от него.</w:t>
      </w:r>
    </w:p>
    <w:p w14:paraId="361374EF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Мебель.Конструктор.</w:t>
      </w:r>
    </w:p>
    <w:p w14:paraId="2379C33D" w14:textId="77777777" w:rsid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14:paraId="1143C531" w14:textId="77777777" w:rsidR="007E6F7E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6FF0ADF5" w14:textId="77777777"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0585C71" wp14:editId="68DF2E12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82F1" w14:textId="77777777"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</w:t>
      </w:r>
    </w:p>
    <w:p w14:paraId="020249F8" w14:textId="77777777"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2CDC70A8" w14:textId="77777777"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14:paraId="1FDAB467" w14:textId="77777777"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 xml:space="preserve"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</w:t>
      </w:r>
      <w:commentRangeStart w:id="6"/>
      <w:r w:rsidRPr="00C06581">
        <w:rPr>
          <w:szCs w:val="28"/>
        </w:rPr>
        <w:t>моделей</w:t>
      </w:r>
      <w:commentRangeEnd w:id="6"/>
      <w:r w:rsidR="00213F75">
        <w:rPr>
          <w:rStyle w:val="CommentReference"/>
        </w:rPr>
        <w:commentReference w:id="6"/>
      </w:r>
      <w:r w:rsidRPr="00C06581">
        <w:rPr>
          <w:szCs w:val="28"/>
        </w:rPr>
        <w:t>.</w:t>
      </w:r>
    </w:p>
    <w:p w14:paraId="244795F5" w14:textId="77777777"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BodyText"/>
        <w:spacing w:line="360" w:lineRule="auto"/>
        <w:jc w:val="center"/>
        <w:outlineLvl w:val="0"/>
        <w:rPr>
          <w:b/>
          <w:sz w:val="32"/>
        </w:rPr>
      </w:pPr>
      <w:bookmarkStart w:id="7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7"/>
    </w:p>
    <w:p w14:paraId="53B8ABB2" w14:textId="77777777"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>Вешалка (также плечики, тремпель)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на </w:t>
      </w:r>
      <w:r w:rsidR="008965E3">
        <w:rPr>
          <w:szCs w:val="28"/>
        </w:rPr>
        <w:t>эконом панель</w:t>
      </w:r>
      <w:r>
        <w:rPr>
          <w:szCs w:val="28"/>
        </w:rPr>
        <w:t xml:space="preserve"> </w:t>
      </w:r>
      <w:r w:rsidRPr="004D7639">
        <w:rPr>
          <w:szCs w:val="28"/>
        </w:rPr>
        <w:t>Одежда, хранящаяся на плечиках, не мнё</w:t>
      </w:r>
      <w:r>
        <w:rPr>
          <w:szCs w:val="28"/>
        </w:rPr>
        <w:t>тся</w:t>
      </w:r>
      <w:r w:rsidRPr="004D7639">
        <w:rPr>
          <w:szCs w:val="28"/>
        </w:rPr>
        <w:t>[4].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77777777" w:rsidR="004D7639" w:rsidRDefault="006C2035" w:rsidP="006C2035">
      <w:pPr>
        <w:spacing w:after="0" w:line="360" w:lineRule="auto"/>
        <w:ind w:left="0" w:firstLine="0"/>
        <w:jc w:val="center"/>
        <w:rPr>
          <w:szCs w:val="28"/>
        </w:rPr>
      </w:pPr>
      <w:r w:rsidRPr="006C2035">
        <w:rPr>
          <w:noProof/>
          <w:szCs w:val="28"/>
        </w:rPr>
        <w:drawing>
          <wp:inline distT="0" distB="0" distL="0" distR="0" wp14:anchorId="54F74C45" wp14:editId="2E35C3D7">
            <wp:extent cx="3810532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7777777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14:paraId="08AD23A9" w14:textId="77777777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commentRangeStart w:id="8"/>
      <w:r w:rsidRPr="007528F7">
        <w:rPr>
          <w:szCs w:val="28"/>
        </w:rPr>
        <w:t xml:space="preserve">изменять </w:t>
      </w:r>
      <w:commentRangeEnd w:id="8"/>
      <w:r w:rsidR="00213F75">
        <w:rPr>
          <w:rStyle w:val="CommentReference"/>
        </w:rPr>
        <w:commentReference w:id="8"/>
      </w:r>
      <w:r w:rsidRPr="007528F7">
        <w:rPr>
          <w:szCs w:val="28"/>
        </w:rPr>
        <w:t>такие параметры как:</w:t>
      </w:r>
    </w:p>
    <w:p w14:paraId="753DBA3C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</w:p>
    <w:p w14:paraId="5C1E7BF4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</w:p>
    <w:p w14:paraId="1886344F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</w:p>
    <w:p w14:paraId="6F91670E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</w:p>
    <w:p w14:paraId="382B724E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</w:p>
    <w:p w14:paraId="75CCFBAA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</w:p>
    <w:p w14:paraId="53DFA716" w14:textId="77777777" w:rsidR="004D7639" w:rsidRDefault="004D7639" w:rsidP="008965E3">
      <w:pPr>
        <w:pStyle w:val="BodyText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 мм</w:t>
      </w:r>
    </w:p>
    <w:p w14:paraId="4619DA6C" w14:textId="77777777" w:rsidR="004D7639" w:rsidRPr="006C2035" w:rsidRDefault="004D7639" w:rsidP="006C2035">
      <w:pPr>
        <w:pStyle w:val="BodyText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0"/>
        <w:jc w:val="both"/>
      </w:pPr>
      <w:commentRangeStart w:id="9"/>
      <w:r>
        <w:t>Толщина</w:t>
      </w:r>
      <w:commentRangeEnd w:id="9"/>
      <w:r w:rsidR="00213F75">
        <w:rPr>
          <w:rStyle w:val="CommentReference"/>
          <w:color w:val="000000"/>
          <w:lang w:eastAsia="ru-RU"/>
        </w:rPr>
        <w:commentReference w:id="9"/>
      </w:r>
      <w:r>
        <w:t xml:space="preserve"> плечиков = 4</w:t>
      </w:r>
      <w:r w:rsidRPr="00354864">
        <w:t xml:space="preserve"> </w:t>
      </w:r>
      <w:r>
        <w:t xml:space="preserve">мм </w:t>
      </w:r>
      <w:r w:rsidRPr="00694794">
        <w:t>≤</w:t>
      </w:r>
      <w:r>
        <w:t xml:space="preserve"> </w:t>
      </w:r>
      <w:r w:rsidRPr="006C2035">
        <w:rPr>
          <w:lang w:val="en-US"/>
        </w:rPr>
        <w:t>H</w:t>
      </w:r>
      <w:r w:rsidRPr="00354864">
        <w:t xml:space="preserve"> </w:t>
      </w:r>
      <w:r w:rsidRPr="00694794">
        <w:t>≤</w:t>
      </w:r>
      <w:r>
        <w:t xml:space="preserve"> 6 мм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BodyText"/>
        <w:spacing w:line="360" w:lineRule="auto"/>
        <w:jc w:val="center"/>
        <w:outlineLvl w:val="0"/>
        <w:rPr>
          <w:b/>
        </w:rPr>
      </w:pPr>
      <w:bookmarkStart w:id="10" w:name="_Toc87873633"/>
      <w:r w:rsidRPr="004D7639">
        <w:rPr>
          <w:b/>
        </w:rPr>
        <w:lastRenderedPageBreak/>
        <w:t>3 Проект программы</w:t>
      </w:r>
      <w:bookmarkEnd w:id="10"/>
    </w:p>
    <w:p w14:paraId="0A66B71F" w14:textId="77777777" w:rsidR="004D7639" w:rsidRPr="00A15E22" w:rsidRDefault="00A15E22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11" w:name="_Toc87873634"/>
      <w:r w:rsidRPr="00A15E22">
        <w:rPr>
          <w:b/>
        </w:rPr>
        <w:t>3.1 Диаграмма классов</w:t>
      </w:r>
      <w:bookmarkEnd w:id="11"/>
    </w:p>
    <w:p w14:paraId="218BD1B7" w14:textId="77777777"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 xml:space="preserve">существуют </w:t>
      </w:r>
      <w:commentRangeStart w:id="12"/>
      <w:r w:rsidRPr="00663649">
        <w:rPr>
          <w:color w:val="222222"/>
          <w:szCs w:val="28"/>
          <w:shd w:val="clear" w:color="auto" w:fill="FFFFFF"/>
        </w:rPr>
        <w:t xml:space="preserve">между ними. </w:t>
      </w:r>
      <w:commentRangeEnd w:id="12"/>
      <w:r w:rsidR="00213F75">
        <w:rPr>
          <w:rStyle w:val="CommentReference"/>
        </w:rPr>
        <w:commentReference w:id="12"/>
      </w:r>
      <w:r w:rsidRPr="00663649">
        <w:rPr>
          <w:color w:val="222222"/>
          <w:szCs w:val="28"/>
          <w:shd w:val="clear" w:color="auto" w:fill="FFFFFF"/>
        </w:rPr>
        <w:t>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6C2035">
        <w:rPr>
          <w:color w:val="222222"/>
          <w:szCs w:val="28"/>
          <w:shd w:val="clear" w:color="auto" w:fill="FFFFFF"/>
        </w:rPr>
        <w:br/>
        <w:t>(рисунок 3.1).</w:t>
      </w:r>
    </w:p>
    <w:p w14:paraId="0BF92ED4" w14:textId="77777777" w:rsidR="006C2035" w:rsidRDefault="00227D5E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commentRangeStart w:id="13"/>
      <w:r>
        <w:rPr>
          <w:noProof/>
          <w:color w:val="222222"/>
          <w:szCs w:val="28"/>
          <w:shd w:val="clear" w:color="auto" w:fill="FFFFFF"/>
        </w:rPr>
        <w:drawing>
          <wp:inline distT="0" distB="0" distL="0" distR="0" wp14:anchorId="5FA6E19A" wp14:editId="2029AA43">
            <wp:extent cx="5940425" cy="4254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SAPR Диграмма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213F75">
        <w:rPr>
          <w:rStyle w:val="CommentReference"/>
        </w:rPr>
        <w:commentReference w:id="13"/>
      </w:r>
    </w:p>
    <w:p w14:paraId="71862A38" w14:textId="77777777"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Рисунок 3.1 – Диаграмма классов</w:t>
      </w:r>
    </w:p>
    <w:p w14:paraId="430E90D1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20D6801D" w14:textId="77777777" w:rsidR="006C2035" w:rsidRPr="006C2035" w:rsidRDefault="006C2035" w:rsidP="006C2035">
      <w:pPr>
        <w:pStyle w:val="a1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commentRangeStart w:id="14"/>
      <w:r w:rsidRPr="00535FE0">
        <w:rPr>
          <w:rFonts w:ascii="Times New Roman" w:hAnsi="Times New Roman" w:cs="Times New Roman"/>
          <w:bCs/>
          <w:color w:val="000000"/>
          <w:lang w:val="en-US"/>
        </w:rPr>
        <w:t>Hanger</w:t>
      </w: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commentRangeEnd w:id="14"/>
      <w:r w:rsidR="00535FE0">
        <w:rPr>
          <w:rStyle w:val="CommentReference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14"/>
      </w:r>
      <w:r w:rsidRPr="006C2035">
        <w:rPr>
          <w:rFonts w:ascii="Times New Roman" w:hAnsi="Times New Roman" w:cs="Times New Roman"/>
          <w:bCs/>
          <w:color w:val="000000"/>
        </w:rPr>
        <w:t xml:space="preserve">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14:paraId="5FFD985F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проверяющий правильность введенных параметров;</w:t>
      </w:r>
    </w:p>
    <w:p w14:paraId="1ECB6B6D" w14:textId="77777777" w:rsidR="006C2035" w:rsidRPr="006C2035" w:rsidRDefault="006C2035" w:rsidP="006C2035">
      <w:pPr>
        <w:pStyle w:val="a1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4)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7CE4F22F" w14:textId="77777777" w:rsidR="00A15E22" w:rsidRPr="006C2035" w:rsidRDefault="006C2035" w:rsidP="006C2035">
      <w:pPr>
        <w:pStyle w:val="a1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5) </w:t>
      </w:r>
      <w:r>
        <w:rPr>
          <w:rFonts w:ascii="Times New Roman" w:hAnsi="Times New Roman" w:cs="Times New Roman"/>
          <w:bCs/>
          <w:color w:val="000000"/>
          <w:lang w:val="en-US"/>
        </w:rPr>
        <w:t>HangerBuilder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 xml:space="preserve">-модели.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14:paraId="762C011D" w14:textId="77777777" w:rsidR="00A15E22" w:rsidRPr="00A15E22" w:rsidRDefault="00A15E22" w:rsidP="008965E3">
      <w:pPr>
        <w:pStyle w:val="BodyText"/>
        <w:spacing w:line="360" w:lineRule="auto"/>
        <w:jc w:val="center"/>
        <w:outlineLvl w:val="1"/>
        <w:rPr>
          <w:b/>
        </w:rPr>
      </w:pPr>
      <w:bookmarkStart w:id="15" w:name="_Toc87873635"/>
      <w:r w:rsidRPr="00A15E22">
        <w:rPr>
          <w:b/>
        </w:rPr>
        <w:lastRenderedPageBreak/>
        <w:t>3.2 Макет пользовательского интерфейса</w:t>
      </w:r>
      <w:bookmarkEnd w:id="15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79759398" wp14:editId="2EAC2475">
            <wp:extent cx="3468280" cy="2886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3501" cy="28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77777777" w:rsidR="00A15E22" w:rsidRPr="005614D5" w:rsidRDefault="00A15E22" w:rsidP="008965E3">
      <w:pPr>
        <w:pStyle w:val="a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1CFF6842" wp14:editId="0D4F77F5">
            <wp:extent cx="3286760" cy="2735026"/>
            <wp:effectExtent l="0" t="0" r="889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3384" cy="27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5C09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0819966C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58AC55D8" w14:textId="46982D14"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ab/>
        <w:t xml:space="preserve">Поля Наружный радиус, Внутренняя высота плечиков и </w:t>
      </w:r>
      <w:r w:rsidR="00535FE0">
        <w:rPr>
          <w:szCs w:val="28"/>
        </w:rPr>
        <w:t>Д</w:t>
      </w:r>
      <w:r>
        <w:rPr>
          <w:szCs w:val="28"/>
        </w:rPr>
        <w:t>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14:paraId="66662A8A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 w:rsidRPr="00AA1311">
        <w:rPr>
          <w:noProof/>
          <w:szCs w:val="28"/>
        </w:rPr>
        <w:drawing>
          <wp:inline distT="0" distB="0" distL="0" distR="0" wp14:anchorId="3CB9AC86" wp14:editId="3A1C6533">
            <wp:extent cx="3972479" cy="330563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DF9F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14:paraId="1CE1E1C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Heading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6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16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71357967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2B7F5DF4" w14:textId="77777777" w:rsidR="00174AA3" w:rsidRDefault="00174AA3" w:rsidP="008965E3">
      <w:pPr>
        <w:pStyle w:val="a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614FE02F" w14:textId="0A73DA32" w:rsidR="00934199" w:rsidRDefault="00174AA3" w:rsidP="0050723E">
      <w:pPr>
        <w:pStyle w:val="a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1-11-15T17:27:00Z" w:initials="A">
    <w:p w14:paraId="6AA9AD66" w14:textId="575BA693" w:rsidR="00213F75" w:rsidRPr="00213F75" w:rsidRDefault="00213F75">
      <w:pPr>
        <w:pStyle w:val="CommentText"/>
      </w:pPr>
      <w:r>
        <w:rPr>
          <w:rStyle w:val="CommentReference"/>
        </w:rPr>
        <w:annotationRef/>
      </w:r>
      <w:r>
        <w:t>Красная строка.</w:t>
      </w:r>
    </w:p>
  </w:comment>
  <w:comment w:id="4" w:author="AAK" w:date="2021-11-15T17:27:00Z" w:initials="A">
    <w:p w14:paraId="721231C9" w14:textId="3F0CEACC" w:rsidR="00213F75" w:rsidRDefault="00213F75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11-15T17:28:00Z" w:initials="A">
    <w:p w14:paraId="6D987AD5" w14:textId="0DAD3EB5" w:rsidR="00213F75" w:rsidRDefault="00213F75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11-15T17:28:00Z" w:initials="A">
    <w:p w14:paraId="3E805E55" w14:textId="5DAFC748" w:rsidR="00213F75" w:rsidRDefault="00213F75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11-15T17:28:00Z" w:initials="A">
    <w:p w14:paraId="4A4B6D03" w14:textId="4AA1DBF7" w:rsidR="00213F75" w:rsidRDefault="00213F75">
      <w:pPr>
        <w:pStyle w:val="CommentText"/>
      </w:pPr>
      <w:r>
        <w:rPr>
          <w:rStyle w:val="CommentReference"/>
        </w:rPr>
        <w:annotationRef/>
      </w:r>
    </w:p>
  </w:comment>
  <w:comment w:id="12" w:author="AAK" w:date="2021-11-15T17:28:00Z" w:initials="A">
    <w:p w14:paraId="3B7CFE48" w14:textId="4533E3ED" w:rsidR="00213F75" w:rsidRDefault="00213F75">
      <w:pPr>
        <w:pStyle w:val="CommentText"/>
      </w:pPr>
      <w:r>
        <w:rPr>
          <w:rStyle w:val="CommentReference"/>
        </w:rPr>
        <w:annotationRef/>
      </w:r>
    </w:p>
  </w:comment>
  <w:comment w:id="13" w:author="AAK" w:date="2021-11-15T17:29:00Z" w:initials="A">
    <w:p w14:paraId="7FAFEC8F" w14:textId="77777777" w:rsidR="00213F75" w:rsidRDefault="00213F75" w:rsidP="00213F75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213F75">
        <w:t xml:space="preserve"> – </w:t>
      </w:r>
      <w:r>
        <w:t xml:space="preserve">перенести наверх. </w:t>
      </w:r>
      <w:proofErr w:type="spellStart"/>
      <w:r>
        <w:rPr>
          <w:lang w:val="en-US"/>
        </w:rPr>
        <w:t>MainForm</w:t>
      </w:r>
      <w:proofErr w:type="spellEnd"/>
      <w:r w:rsidRPr="00213F75">
        <w:t xml:space="preserve"> – </w:t>
      </w:r>
      <w:r>
        <w:t>композиции? Зачем</w:t>
      </w:r>
      <w:r w:rsidRPr="00213F75">
        <w:t xml:space="preserve"> </w:t>
      </w:r>
      <w:r>
        <w:t xml:space="preserve">публичное свойство </w:t>
      </w:r>
      <w:r>
        <w:rPr>
          <w:lang w:val="en-US"/>
        </w:rPr>
        <w:t>Hanger</w:t>
      </w:r>
      <w:r w:rsidRPr="00213F75">
        <w:t>?</w:t>
      </w:r>
    </w:p>
    <w:p w14:paraId="77BDB954" w14:textId="77777777" w:rsidR="00213F75" w:rsidRDefault="00213F75" w:rsidP="00213F75">
      <w:pPr>
        <w:pStyle w:val="CommentText"/>
      </w:pPr>
      <w:r>
        <w:rPr>
          <w:lang w:val="en-US"/>
        </w:rPr>
        <w:t>Hanger</w:t>
      </w:r>
      <w:r w:rsidRPr="00213F75">
        <w:t xml:space="preserve"> </w:t>
      </w:r>
      <w:r w:rsidR="00535FE0">
        <w:t>–</w:t>
      </w:r>
      <w:r>
        <w:rPr>
          <w:lang w:val="en-US"/>
        </w:rPr>
        <w:t xml:space="preserve"> </w:t>
      </w:r>
      <w:r w:rsidR="00535FE0">
        <w:t>параметры?</w:t>
      </w:r>
    </w:p>
    <w:p w14:paraId="5C469245" w14:textId="20BCEA43" w:rsidR="00535FE0" w:rsidRPr="0050723E" w:rsidRDefault="00535FE0" w:rsidP="00213F75">
      <w:pPr>
        <w:pStyle w:val="CommentText"/>
        <w:rPr>
          <w:lang w:val="en-US"/>
        </w:rPr>
      </w:pPr>
      <w:proofErr w:type="spellStart"/>
      <w:r>
        <w:rPr>
          <w:lang w:val="en-US"/>
        </w:rPr>
        <w:t>HangerBuilder</w:t>
      </w:r>
      <w:proofErr w:type="spellEnd"/>
      <w:r>
        <w:rPr>
          <w:lang w:val="en-US"/>
        </w:rPr>
        <w:t xml:space="preserve"> - _connector – </w:t>
      </w:r>
      <w:r>
        <w:t>тип</w:t>
      </w:r>
      <w:r w:rsidRPr="0050723E">
        <w:rPr>
          <w:lang w:val="en-US"/>
        </w:rPr>
        <w:t xml:space="preserve">? </w:t>
      </w:r>
      <w:r>
        <w:rPr>
          <w:lang w:val="en-US"/>
        </w:rPr>
        <w:t>Assembly</w:t>
      </w:r>
      <w:r w:rsidR="0050723E">
        <w:rPr>
          <w:lang w:val="en-US"/>
        </w:rPr>
        <w:t xml:space="preserve">, </w:t>
      </w:r>
      <w:proofErr w:type="spellStart"/>
      <w:r w:rsidR="0050723E">
        <w:rPr>
          <w:lang w:val="en-US"/>
        </w:rPr>
        <w:t>BuildHanger</w:t>
      </w:r>
      <w:proofErr w:type="spellEnd"/>
      <w:r w:rsidR="0050723E">
        <w:rPr>
          <w:lang w:val="en-US"/>
        </w:rPr>
        <w:t xml:space="preserve"> – </w:t>
      </w:r>
      <w:r w:rsidR="0050723E">
        <w:t>в</w:t>
      </w:r>
      <w:r w:rsidR="0050723E" w:rsidRPr="0050723E">
        <w:rPr>
          <w:lang w:val="en-US"/>
        </w:rPr>
        <w:t xml:space="preserve"> </w:t>
      </w:r>
      <w:r w:rsidR="0050723E">
        <w:t>чём</w:t>
      </w:r>
      <w:r w:rsidR="0050723E" w:rsidRPr="0050723E">
        <w:rPr>
          <w:lang w:val="en-US"/>
        </w:rPr>
        <w:t xml:space="preserve"> </w:t>
      </w:r>
      <w:r w:rsidR="0050723E">
        <w:t>разница</w:t>
      </w:r>
      <w:r w:rsidR="0050723E" w:rsidRPr="0050723E">
        <w:rPr>
          <w:lang w:val="en-US"/>
        </w:rPr>
        <w:t xml:space="preserve"> </w:t>
      </w:r>
      <w:r w:rsidR="0050723E">
        <w:t>методов?</w:t>
      </w:r>
    </w:p>
    <w:p w14:paraId="255070AE" w14:textId="77777777" w:rsidR="00535FE0" w:rsidRPr="00535FE0" w:rsidRDefault="00535FE0" w:rsidP="00213F75">
      <w:pPr>
        <w:pStyle w:val="CommentText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- _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 xml:space="preserve"> – </w:t>
      </w:r>
      <w:r>
        <w:t>поле</w:t>
      </w:r>
      <w:r w:rsidRPr="00535FE0">
        <w:rPr>
          <w:lang w:val="en-US"/>
        </w:rPr>
        <w:t>? «</w:t>
      </w:r>
      <w:r>
        <w:rPr>
          <w:lang w:val="en-US"/>
        </w:rPr>
        <w:t>properties</w:t>
      </w:r>
      <w:r w:rsidRPr="00535FE0">
        <w:rPr>
          <w:lang w:val="en-US"/>
        </w:rPr>
        <w:t>»</w:t>
      </w:r>
    </w:p>
    <w:p w14:paraId="72BBD7C8" w14:textId="5CC5C93B" w:rsidR="00535FE0" w:rsidRPr="00535FE0" w:rsidRDefault="00535FE0" w:rsidP="00213F75">
      <w:pPr>
        <w:pStyle w:val="CommentText"/>
      </w:pPr>
      <w:r>
        <w:rPr>
          <w:lang w:val="en-US"/>
        </w:rPr>
        <w:t xml:space="preserve">Validator – static – </w:t>
      </w:r>
      <w:r>
        <w:t>подчёркивание.</w:t>
      </w:r>
    </w:p>
  </w:comment>
  <w:comment w:id="14" w:author="AAK" w:date="2021-11-15T17:34:00Z" w:initials="A">
    <w:p w14:paraId="2AC5CBDB" w14:textId="012A47DC" w:rsidR="00535FE0" w:rsidRDefault="00535FE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A9AD66" w15:done="0"/>
  <w15:commentEx w15:paraId="721231C9" w15:done="0"/>
  <w15:commentEx w15:paraId="6D987AD5" w15:done="0"/>
  <w15:commentEx w15:paraId="3E805E55" w15:done="0"/>
  <w15:commentEx w15:paraId="4A4B6D03" w15:done="0"/>
  <w15:commentEx w15:paraId="3B7CFE48" w15:done="0"/>
  <w15:commentEx w15:paraId="72BBD7C8" w15:done="0"/>
  <w15:commentEx w15:paraId="2AC5CB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6F4" w16cex:dateUtc="2021-11-15T10:27:00Z"/>
  <w16cex:commentExtensible w16cex:durableId="253D170E" w16cex:dateUtc="2021-11-15T10:27:00Z"/>
  <w16cex:commentExtensible w16cex:durableId="253D1728" w16cex:dateUtc="2021-11-15T10:28:00Z"/>
  <w16cex:commentExtensible w16cex:durableId="253D1739" w16cex:dateUtc="2021-11-15T10:28:00Z"/>
  <w16cex:commentExtensible w16cex:durableId="253D1731" w16cex:dateUtc="2021-11-15T10:28:00Z"/>
  <w16cex:commentExtensible w16cex:durableId="253D1747" w16cex:dateUtc="2021-11-15T10:28:00Z"/>
  <w16cex:commentExtensible w16cex:durableId="253D176E" w16cex:dateUtc="2021-11-15T10:29:00Z"/>
  <w16cex:commentExtensible w16cex:durableId="253D18A4" w16cex:dateUtc="2021-11-15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A9AD66" w16cid:durableId="253D16F4"/>
  <w16cid:commentId w16cid:paraId="721231C9" w16cid:durableId="253D170E"/>
  <w16cid:commentId w16cid:paraId="6D987AD5" w16cid:durableId="253D1728"/>
  <w16cid:commentId w16cid:paraId="3E805E55" w16cid:durableId="253D1739"/>
  <w16cid:commentId w16cid:paraId="4A4B6D03" w16cid:durableId="253D1731"/>
  <w16cid:commentId w16cid:paraId="3B7CFE48" w16cid:durableId="253D1747"/>
  <w16cid:commentId w16cid:paraId="72BBD7C8" w16cid:durableId="253D176E"/>
  <w16cid:commentId w16cid:paraId="2AC5CBDB" w16cid:durableId="253D18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CF50" w14:textId="77777777" w:rsidR="000B2D17" w:rsidRDefault="000B2D17" w:rsidP="00DD4073">
      <w:pPr>
        <w:spacing w:after="0" w:line="240" w:lineRule="auto"/>
      </w:pPr>
      <w:r>
        <w:separator/>
      </w:r>
    </w:p>
  </w:endnote>
  <w:endnote w:type="continuationSeparator" w:id="0">
    <w:p w14:paraId="42BEAC42" w14:textId="77777777" w:rsidR="000B2D17" w:rsidRDefault="000B2D17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A9CF" w14:textId="77777777" w:rsidR="00A270D6" w:rsidRDefault="00A270D6" w:rsidP="00A270D6">
    <w:pPr>
      <w:pStyle w:val="Footer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2D7D" w14:textId="77777777" w:rsidR="000B2D17" w:rsidRDefault="000B2D17" w:rsidP="00DD4073">
      <w:pPr>
        <w:spacing w:after="0" w:line="240" w:lineRule="auto"/>
      </w:pPr>
      <w:r>
        <w:separator/>
      </w:r>
    </w:p>
  </w:footnote>
  <w:footnote w:type="continuationSeparator" w:id="0">
    <w:p w14:paraId="747B3D11" w14:textId="77777777" w:rsidR="000B2D17" w:rsidRDefault="000B2D17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7777777" w:rsidR="001D7DF3" w:rsidRDefault="001D7DF3" w:rsidP="00AA1311">
        <w:pPr>
          <w:pStyle w:val="Header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D5E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336DB"/>
    <w:rsid w:val="0015205D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7D5E"/>
    <w:rsid w:val="00235162"/>
    <w:rsid w:val="002541FC"/>
    <w:rsid w:val="00267E4C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4022F5"/>
    <w:rsid w:val="00414331"/>
    <w:rsid w:val="00426AFF"/>
    <w:rsid w:val="00431645"/>
    <w:rsid w:val="00433DF4"/>
    <w:rsid w:val="00470598"/>
    <w:rsid w:val="00480F27"/>
    <w:rsid w:val="004A134E"/>
    <w:rsid w:val="004A5CD1"/>
    <w:rsid w:val="004B4485"/>
    <w:rsid w:val="004C06D2"/>
    <w:rsid w:val="004D3AB4"/>
    <w:rsid w:val="004D7639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60153C"/>
    <w:rsid w:val="00643EED"/>
    <w:rsid w:val="0065005B"/>
    <w:rsid w:val="00660F95"/>
    <w:rsid w:val="00674B18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7696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527C3"/>
    <w:rsid w:val="00B568D0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82E0B"/>
    <w:rsid w:val="00C85F86"/>
    <w:rsid w:val="00C909DB"/>
    <w:rsid w:val="00C914E1"/>
    <w:rsid w:val="00CC3AB3"/>
    <w:rsid w:val="00CD00E6"/>
    <w:rsid w:val="00CD3794"/>
    <w:rsid w:val="00D0437A"/>
    <w:rsid w:val="00D26B7E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9544B"/>
    <w:rsid w:val="00EA27FD"/>
    <w:rsid w:val="00ED2AF6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244D4"/>
    <w:pPr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824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000D4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00D4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007F9"/>
    <w:rPr>
      <w:b/>
      <w:bCs/>
    </w:rPr>
  </w:style>
  <w:style w:type="paragraph" w:customStyle="1" w:styleId="a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">
    <w:name w:val="Сетка таблицы1"/>
    <w:basedOn w:val="TableNormal"/>
    <w:next w:val="TableGrid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C909DB"/>
  </w:style>
  <w:style w:type="paragraph" w:customStyle="1" w:styleId="bodytext0">
    <w:name w:val="bodytext"/>
    <w:basedOn w:val="Normal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NoSpacing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0">
    <w:name w:val="мой стиль Знак"/>
    <w:link w:val="a1"/>
    <w:locked/>
    <w:rsid w:val="006C2035"/>
    <w:rPr>
      <w:rFonts w:eastAsia="Calibri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13F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F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mk:@MSITStore:C:\Program%20Files\ASCON\KOMPAS-3D%20v18%20Study\SDK\SDK.chm::/ksEntity_props.ht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93875-5AF6-43BC-AC80-2C4035E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14</Pages>
  <Words>1802</Words>
  <Characters>10278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AAK</cp:lastModifiedBy>
  <cp:revision>130</cp:revision>
  <cp:lastPrinted>2021-11-12T06:44:00Z</cp:lastPrinted>
  <dcterms:created xsi:type="dcterms:W3CDTF">2020-11-14T06:24:00Z</dcterms:created>
  <dcterms:modified xsi:type="dcterms:W3CDTF">2021-11-15T10:38:00Z</dcterms:modified>
</cp:coreProperties>
</file>