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09E8" w:rsidRPr="00C309E8" w:rsidRDefault="00C309E8" w:rsidP="00C309E8">
      <w:pPr>
        <w:jc w:val="center"/>
        <w:rPr>
          <w:rFonts w:ascii="Arial Black" w:hAnsi="Arial Black"/>
          <w:b/>
          <w:bCs/>
          <w:sz w:val="36"/>
          <w:szCs w:val="28"/>
        </w:rPr>
      </w:pPr>
      <w:r w:rsidRPr="00C309E8">
        <w:rPr>
          <w:rFonts w:ascii="Arial Black" w:hAnsi="Arial Black"/>
          <w:b/>
          <w:bCs/>
          <w:sz w:val="36"/>
          <w:szCs w:val="28"/>
        </w:rPr>
        <w:t>Business Insights Report</w:t>
      </w:r>
    </w:p>
    <w:p w:rsidR="00C309E8" w:rsidRDefault="00C309E8" w:rsidP="00C309E8"/>
    <w:p w:rsidR="00C309E8" w:rsidRDefault="00C309E8" w:rsidP="00C309E8">
      <w:pPr>
        <w:rPr>
          <w:b/>
          <w:bCs/>
          <w:i/>
          <w:iCs/>
          <w:sz w:val="32"/>
          <w:szCs w:val="26"/>
        </w:rPr>
      </w:pPr>
      <w:r w:rsidRPr="00C309E8">
        <w:rPr>
          <w:b/>
          <w:bCs/>
          <w:i/>
          <w:iCs/>
          <w:sz w:val="32"/>
          <w:szCs w:val="26"/>
        </w:rPr>
        <w:t>Executive Summary &amp; Key Takeaways</w:t>
      </w:r>
      <w:r>
        <w:rPr>
          <w:b/>
          <w:bCs/>
          <w:i/>
          <w:iCs/>
          <w:sz w:val="32"/>
          <w:szCs w:val="26"/>
        </w:rPr>
        <w:t>:</w:t>
      </w:r>
    </w:p>
    <w:p w:rsidR="00C309E8" w:rsidRPr="00C309E8" w:rsidRDefault="00C309E8" w:rsidP="00C309E8">
      <w:pPr>
        <w:rPr>
          <w:b/>
          <w:bCs/>
          <w:i/>
          <w:iCs/>
          <w:sz w:val="32"/>
          <w:szCs w:val="26"/>
        </w:rPr>
      </w:pPr>
    </w:p>
    <w:p w:rsidR="00C309E8" w:rsidRDefault="00C309E8" w:rsidP="00C309E8"/>
    <w:p w:rsidR="00C309E8" w:rsidRDefault="00C309E8" w:rsidP="00C309E8">
      <w:pPr>
        <w:rPr>
          <w:rFonts w:ascii="Bookman Old Style" w:hAnsi="Bookman Old Style"/>
          <w:sz w:val="24"/>
          <w:szCs w:val="22"/>
        </w:rPr>
      </w:pPr>
      <w:r w:rsidRPr="00C309E8">
        <w:rPr>
          <w:rFonts w:ascii="Bookman Old Style" w:hAnsi="Bookman Old Style"/>
          <w:sz w:val="24"/>
          <w:szCs w:val="22"/>
        </w:rPr>
        <w:t xml:space="preserve">• </w:t>
      </w:r>
      <w:r w:rsidRPr="00C309E8">
        <w:rPr>
          <w:rFonts w:ascii="Bookman Old Style" w:hAnsi="Bookman Old Style"/>
          <w:b/>
          <w:bCs/>
          <w:sz w:val="24"/>
          <w:szCs w:val="22"/>
        </w:rPr>
        <w:t>Top Performing Category:</w:t>
      </w:r>
      <w:r w:rsidRPr="00C309E8">
        <w:rPr>
          <w:rFonts w:ascii="Bookman Old Style" w:hAnsi="Bookman Old Style"/>
          <w:sz w:val="24"/>
          <w:szCs w:val="22"/>
        </w:rPr>
        <w:t xml:space="preserve"> </w:t>
      </w:r>
      <w:r w:rsidRPr="00C309E8">
        <w:rPr>
          <w:rFonts w:ascii="Bookman Old Style" w:hAnsi="Bookman Old Style"/>
          <w:b/>
          <w:bCs/>
          <w:i/>
          <w:iCs/>
          <w:sz w:val="24"/>
          <w:szCs w:val="22"/>
        </w:rPr>
        <w:t xml:space="preserve">Technology </w:t>
      </w:r>
      <w:r w:rsidRPr="00C309E8">
        <w:rPr>
          <w:rFonts w:ascii="Bookman Old Style" w:hAnsi="Bookman Old Style"/>
          <w:sz w:val="24"/>
          <w:szCs w:val="22"/>
        </w:rPr>
        <w:t>stands out as both the highest-selling and most profitable category. It remains a foundational contributor to the company’s overall financial health and market performance.</w:t>
      </w:r>
    </w:p>
    <w:p w:rsidR="00C309E8" w:rsidRPr="00C309E8" w:rsidRDefault="00C309E8" w:rsidP="00C309E8">
      <w:pPr>
        <w:rPr>
          <w:rFonts w:ascii="Bookman Old Style" w:hAnsi="Bookman Old Style"/>
          <w:sz w:val="24"/>
          <w:szCs w:val="22"/>
        </w:rPr>
      </w:pPr>
    </w:p>
    <w:p w:rsidR="00C309E8" w:rsidRDefault="00C309E8" w:rsidP="00C309E8">
      <w:pPr>
        <w:rPr>
          <w:rFonts w:ascii="Bookman Old Style" w:hAnsi="Bookman Old Style"/>
          <w:sz w:val="24"/>
          <w:szCs w:val="22"/>
        </w:rPr>
      </w:pPr>
      <w:r w:rsidRPr="00C309E8">
        <w:rPr>
          <w:rFonts w:ascii="Bookman Old Style" w:hAnsi="Bookman Old Style"/>
          <w:sz w:val="24"/>
          <w:szCs w:val="22"/>
        </w:rPr>
        <w:t>•</w:t>
      </w:r>
      <w:r w:rsidRPr="00C309E8">
        <w:rPr>
          <w:rFonts w:ascii="Bookman Old Style" w:hAnsi="Bookman Old Style"/>
          <w:b/>
          <w:bCs/>
          <w:sz w:val="24"/>
          <w:szCs w:val="22"/>
        </w:rPr>
        <w:t xml:space="preserve"> Regional Stronghold</w:t>
      </w:r>
      <w:r w:rsidRPr="00C309E8">
        <w:rPr>
          <w:rFonts w:ascii="Bookman Old Style" w:hAnsi="Bookman Old Style"/>
          <w:sz w:val="24"/>
          <w:szCs w:val="22"/>
        </w:rPr>
        <w:t xml:space="preserve">: The </w:t>
      </w:r>
      <w:r w:rsidRPr="00C309E8">
        <w:rPr>
          <w:rFonts w:ascii="Bookman Old Style" w:hAnsi="Bookman Old Style"/>
          <w:b/>
          <w:bCs/>
          <w:i/>
          <w:iCs/>
          <w:sz w:val="24"/>
          <w:szCs w:val="22"/>
        </w:rPr>
        <w:t xml:space="preserve">West region </w:t>
      </w:r>
      <w:r w:rsidRPr="00C309E8">
        <w:rPr>
          <w:rFonts w:ascii="Bookman Old Style" w:hAnsi="Bookman Old Style"/>
          <w:sz w:val="24"/>
          <w:szCs w:val="22"/>
        </w:rPr>
        <w:t>generates the highest sales volume across all territories. To maximize returns, the company should consider allocating additional strategic resources to this region to sustain momentum and unlock further growth.</w:t>
      </w:r>
    </w:p>
    <w:p w:rsidR="00C309E8" w:rsidRPr="00C309E8" w:rsidRDefault="00C309E8" w:rsidP="00C309E8">
      <w:pPr>
        <w:rPr>
          <w:rFonts w:ascii="Bookman Old Style" w:hAnsi="Bookman Old Style"/>
          <w:sz w:val="24"/>
          <w:szCs w:val="22"/>
        </w:rPr>
      </w:pPr>
    </w:p>
    <w:p w:rsidR="00C309E8" w:rsidRDefault="00C309E8" w:rsidP="00C309E8">
      <w:pPr>
        <w:rPr>
          <w:rFonts w:ascii="Bookman Old Style" w:hAnsi="Bookman Old Style"/>
          <w:sz w:val="24"/>
          <w:szCs w:val="22"/>
        </w:rPr>
      </w:pPr>
      <w:r w:rsidRPr="00C309E8">
        <w:rPr>
          <w:rFonts w:ascii="Bookman Old Style" w:hAnsi="Bookman Old Style"/>
          <w:sz w:val="24"/>
          <w:szCs w:val="22"/>
        </w:rPr>
        <w:t xml:space="preserve">• </w:t>
      </w:r>
      <w:r w:rsidRPr="00C309E8">
        <w:rPr>
          <w:rFonts w:ascii="Bookman Old Style" w:hAnsi="Bookman Old Style"/>
          <w:b/>
          <w:bCs/>
          <w:sz w:val="24"/>
          <w:szCs w:val="22"/>
        </w:rPr>
        <w:t>Sales Growth Trajectory:</w:t>
      </w:r>
      <w:r w:rsidRPr="00C309E8">
        <w:rPr>
          <w:rFonts w:ascii="Bookman Old Style" w:hAnsi="Bookman Old Style"/>
          <w:sz w:val="24"/>
          <w:szCs w:val="22"/>
        </w:rPr>
        <w:t xml:space="preserve"> Performance history shows that sales initially experienced a </w:t>
      </w:r>
      <w:r w:rsidRPr="00C309E8">
        <w:rPr>
          <w:rFonts w:ascii="Bookman Old Style" w:hAnsi="Bookman Old Style"/>
          <w:b/>
          <w:bCs/>
          <w:i/>
          <w:iCs/>
          <w:sz w:val="24"/>
          <w:szCs w:val="22"/>
        </w:rPr>
        <w:t>gradual decline</w:t>
      </w:r>
      <w:r w:rsidRPr="00C309E8">
        <w:rPr>
          <w:rFonts w:ascii="Bookman Old Style" w:hAnsi="Bookman Old Style"/>
          <w:sz w:val="24"/>
          <w:szCs w:val="22"/>
        </w:rPr>
        <w:t>, followed by a rapid</w:t>
      </w:r>
      <w:r w:rsidRPr="00C309E8">
        <w:rPr>
          <w:rFonts w:ascii="Bookman Old Style" w:hAnsi="Bookman Old Style"/>
          <w:b/>
          <w:bCs/>
          <w:i/>
          <w:iCs/>
          <w:sz w:val="24"/>
          <w:szCs w:val="22"/>
        </w:rPr>
        <w:t>, exponential increase</w:t>
      </w:r>
      <w:r w:rsidRPr="00C309E8">
        <w:rPr>
          <w:rFonts w:ascii="Bookman Old Style" w:hAnsi="Bookman Old Style"/>
          <w:sz w:val="24"/>
          <w:szCs w:val="22"/>
        </w:rPr>
        <w:t xml:space="preserve"> in later years. This upward trajectory indicates strong recent growth and significantly improving business health.</w:t>
      </w:r>
      <w:bookmarkStart w:id="0" w:name="_GoBack"/>
      <w:bookmarkEnd w:id="0"/>
    </w:p>
    <w:p w:rsidR="00C309E8" w:rsidRPr="00C309E8" w:rsidRDefault="00C309E8" w:rsidP="00C309E8">
      <w:pPr>
        <w:rPr>
          <w:rFonts w:ascii="Bookman Old Style" w:hAnsi="Bookman Old Style"/>
          <w:sz w:val="24"/>
          <w:szCs w:val="22"/>
        </w:rPr>
      </w:pPr>
    </w:p>
    <w:p w:rsidR="007C2388" w:rsidRPr="00C309E8" w:rsidRDefault="00C309E8" w:rsidP="00C309E8">
      <w:pPr>
        <w:rPr>
          <w:rFonts w:ascii="Bookman Old Style" w:hAnsi="Bookman Old Style"/>
          <w:sz w:val="24"/>
          <w:szCs w:val="22"/>
        </w:rPr>
      </w:pPr>
      <w:r w:rsidRPr="00C309E8">
        <w:rPr>
          <w:rFonts w:ascii="Bookman Old Style" w:hAnsi="Bookman Old Style"/>
          <w:sz w:val="24"/>
          <w:szCs w:val="22"/>
        </w:rPr>
        <w:t xml:space="preserve">• </w:t>
      </w:r>
      <w:r w:rsidRPr="00C309E8">
        <w:rPr>
          <w:rFonts w:ascii="Bookman Old Style" w:hAnsi="Bookman Old Style"/>
          <w:b/>
          <w:bCs/>
          <w:sz w:val="24"/>
          <w:szCs w:val="22"/>
        </w:rPr>
        <w:t xml:space="preserve">High-Margin Subcategory: </w:t>
      </w:r>
      <w:r w:rsidRPr="00C309E8">
        <w:rPr>
          <w:rFonts w:ascii="Bookman Old Style" w:hAnsi="Bookman Old Style"/>
          <w:b/>
          <w:bCs/>
          <w:i/>
          <w:iCs/>
          <w:sz w:val="24"/>
          <w:szCs w:val="22"/>
        </w:rPr>
        <w:t>Copiers</w:t>
      </w:r>
      <w:r w:rsidRPr="00C309E8">
        <w:rPr>
          <w:rFonts w:ascii="Bookman Old Style" w:hAnsi="Bookman Old Style"/>
          <w:sz w:val="24"/>
          <w:szCs w:val="22"/>
        </w:rPr>
        <w:t xml:space="preserve"> generate the highest net profit among all subcategories. Targeted investments in this specific product line will allow the company to further capitalize on its exceptional profit margins.</w:t>
      </w:r>
    </w:p>
    <w:sectPr w:rsidR="007C2388" w:rsidRPr="00C30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9E8"/>
    <w:rsid w:val="007C2388"/>
    <w:rsid w:val="00C3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2026-10-08T09:34:00Z</dcterms:created>
  <dcterms:modified xsi:type="dcterms:W3CDTF">2026-10-08T09:37:00Z</dcterms:modified>
</cp:coreProperties>
</file>