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40"/>
        <w:jc w:val="center"/>
      </w:pPr>
      <w:r>
        <w:rPr>
          <w:rFonts w:ascii="Arial" w:cs="Arial" w:eastAsia="Arial" w:hAnsi="Arial"/>
          <w:b/>
          <w:bCs/>
          <w:color w:val="1B4332"/>
          <w:sz w:val="50"/>
          <w:szCs w:val="50"/>
        </w:rPr>
        <w:t xml:space="preserve">EARTIGO AGRITECH PLATFORM</w:t>
      </w:r>
    </w:p>
    <w:p>
      <w:pPr>
        <w:spacing w:after="80" w:before="0"/>
        <w:jc w:val="center"/>
      </w:pPr>
      <w:r>
        <w:rPr>
          <w:rFonts w:ascii="Arial" w:cs="Arial" w:eastAsia="Arial" w:hAnsi="Arial"/>
          <w:i/>
          <w:iCs/>
          <w:color w:val="52B788"/>
          <w:sz w:val="24"/>
          <w:szCs w:val="24"/>
        </w:rPr>
        <w:t xml:space="preserve">fresh.eartigo.com</w:t>
      </w:r>
    </w:p>
    <w:p>
      <w:pPr>
        <w:pBdr>
          <w:bottom w:val="single" w:color="52B788" w:sz="6" w:space="1"/>
        </w:pBdr>
        <w:spacing w:after="60" w:before="60"/>
      </w:pPr>
      <w:r>
        <w:t xml:space="preserve"/>
      </w:r>
    </w:p>
    <w:p>
      <w:pPr>
        <w:spacing w:after="60" w:before="120"/>
        <w:jc w:val="center"/>
      </w:pPr>
      <w:r>
        <w:rPr>
          <w:rFonts w:ascii="Arial" w:cs="Arial" w:eastAsia="Arial" w:hAnsi="Arial"/>
          <w:b/>
          <w:bCs/>
          <w:color w:val="2D6A4F"/>
          <w:sz w:val="28"/>
          <w:szCs w:val="28"/>
        </w:rPr>
        <w:t xml:space="preserve">CYBERSECURITY &amp; DATA PROTECTION INTERNSHIP</w:t>
      </w:r>
    </w:p>
    <w:p>
      <w:pPr>
        <w:spacing w:after="40" w:before="20"/>
        <w:jc w:val="center"/>
      </w:pPr>
      <w:r>
        <w:rPr>
          <w:rFonts w:ascii="Arial" w:cs="Arial" w:eastAsia="Arial" w:hAnsi="Arial"/>
          <w:b/>
          <w:bCs/>
          <w:color w:val="1A1A2E"/>
          <w:sz w:val="30"/>
          <w:szCs w:val="30"/>
        </w:rPr>
        <w:t xml:space="preserve">FINAL REPORT &amp; PROJECT SUMMARY</w:t>
      </w:r>
    </w:p>
    <w:p>
      <w:pPr>
        <w:spacing w:after="40" w:before="20"/>
        <w:jc w:val="center"/>
      </w:pPr>
      <w:r>
        <w:rPr>
          <w:rFonts w:ascii="Arial" w:cs="Arial" w:eastAsia="Arial" w:hAnsi="Arial"/>
          <w:i/>
          <w:iCs/>
          <w:color w:val="555555"/>
          <w:sz w:val="19"/>
          <w:szCs w:val="19"/>
        </w:rPr>
        <w:t xml:space="preserve">Consolidating Parts A through O of the Eartigo Cybersecurity &amp; Data Protection Teamship Guide</w:t>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tcPr>
          <w:p>
            <w:r>
              <w:rPr>
                <w:rFonts w:ascii="Arial" w:cs="Arial" w:eastAsia="Arial" w:hAnsi="Arial"/>
                <w:b/>
                <w:bCs/>
                <w:color w:val="FFFFFF"/>
                <w:sz w:val="18"/>
                <w:szCs w:val="18"/>
              </w:rPr>
              <w:t xml:space="preserve">Document Status</w:t>
            </w:r>
          </w:p>
        </w:tc>
        <w:tc>
          <w:tcPr>
            <w:tcW w:type="dxa" w:w="42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tcPr>
          <w:p>
            <w:r>
              <w:rPr>
                <w:rFonts w:ascii="Arial" w:cs="Arial" w:eastAsia="Arial" w:hAnsi="Arial"/>
                <w:color w:val="FFFFFF"/>
                <w:sz w:val="18"/>
                <w:szCs w:val="18"/>
              </w:rPr>
              <w:t xml:space="preserve">FINAL — INTERNSHIP DELIVERABLE</w:t>
            </w:r>
          </w:p>
        </w:tc>
      </w:tr>
      <w:tr>
        <w:tc>
          <w:tcPr>
            <w:tcW w:type="dxa" w:w="30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Platform</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Eartigo (fresh.eartigo.com)</w:t>
            </w:r>
          </w:p>
        </w:tc>
      </w:tr>
      <w:tr>
        <w:tc>
          <w:tcPr>
            <w:tcW w:type="dxa" w:w="30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Internship Focus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DPDP Act 2023 compliance, API security, access control, data protection documentation</w:t>
            </w:r>
          </w:p>
        </w:tc>
      </w:tr>
      <w:tr>
        <w:tc>
          <w:tcPr>
            <w:tcW w:type="dxa" w:w="30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Mentor</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Keyur Rathod</w:t>
            </w:r>
          </w:p>
        </w:tc>
      </w:tr>
      <w:tr>
        <w:tc>
          <w:tcPr>
            <w:tcW w:type="dxa" w:w="30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Scope Covered</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Parts A–M (detailed work) and Part O (final outcomes), per the internship Teamship Guide</w:t>
            </w:r>
          </w:p>
        </w:tc>
      </w:tr>
      <w:tr>
        <w:tc>
          <w:tcPr>
            <w:tcW w:type="dxa" w:w="3000"/>
            <w:tcBorders>
              <w:top w:val="single" w:color="CCCCCC" w:sz="1"/>
              <w:left w:val="single" w:color="CCCCCC" w:sz="1"/>
              <w:bottom w:val="single" w:color="CCCCCC" w:sz="1"/>
              <w:right w:val="single" w:color="CCCCCC" w:sz="1"/>
            </w:tcBorders>
            <w:shd w:fill="D8F3DC" w:val="clear"/>
            <w:tcMar>
              <w:top w:type="dxa" w:w="90"/>
              <w:left w:type="dxa" w:w="130"/>
              <w:bottom w:type="dxa" w:w="90"/>
              <w:right w:type="dxa" w:w="130"/>
            </w:tcMar>
          </w:tcPr>
          <w:p>
            <w:r>
              <w:rPr>
                <w:rFonts w:ascii="Arial" w:cs="Arial" w:eastAsia="Arial" w:hAnsi="Arial"/>
                <w:b/>
                <w:bCs/>
                <w:color w:val="1B4332"/>
                <w:sz w:val="18"/>
                <w:szCs w:val="18"/>
              </w:rPr>
              <w:t xml:space="preserve">Total Standalone Deliverables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1A1A2E"/>
                <w:sz w:val="18"/>
                <w:szCs w:val="18"/>
              </w:rPr>
              <w:t xml:space="preserve">15 DOCX files across 4 packages (Parts A, C, G, K [×12], M)</w:t>
            </w:r>
          </w:p>
        </w:tc>
      </w:tr>
    </w:tbl>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1. Executive Summary</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This report consolidates the full body of work produced over the course of the Eartigo Cybersecurity &amp; Data Protection Internship. Eartigo is an AgriTech platform built on two integrated layers: a farmer-facing marketplace (fresh.eartigo.com) connecting farmers directly with buyers, and a precision agriculture intelligence layer that builds a digital twin of each registered farm using satellite imagery, drone data, and IoT sensors.</w:t>
      </w:r>
    </w:p>
    <w:p>
      <w:pPr>
        <w:spacing w:after="60" w:before="60"/>
        <w:jc w:val="left"/>
      </w:pPr>
      <w:r>
        <w:rPr>
          <w:rFonts w:ascii="Arial" w:cs="Arial" w:eastAsia="Arial" w:hAnsi="Arial"/>
          <w:color w:val="1A1A2E"/>
          <w:sz w:val="20"/>
          <w:szCs w:val="20"/>
        </w:rPr>
        <w:t xml:space="preserve">That combination — farmer financial data, buyer commerce data, and farm intelligence data — creates a data protection challenge that goes well beyond a standard e-commerce platform. The internship was structured to work through that challenge systematically: starting from a precise inventory of what data exists, moving through the legal framework that governs it, then building out access control, API security, consent management, file handling, authentication, logging, breach readiness, AI safety, and finally the public-facing and internal compliance documents that operationalise all of it.</w:t>
      </w:r>
    </w:p>
    <w:p>
      <w:pPr>
        <w:spacing w:after="60" w:before="60"/>
        <w:jc w:val="left"/>
      </w:pPr>
      <w:r>
        <w:rPr>
          <w:rFonts w:ascii="Arial" w:cs="Arial" w:eastAsia="Arial" w:hAnsi="Arial"/>
          <w:color w:val="1A1A2E"/>
          <w:sz w:val="20"/>
          <w:szCs w:val="20"/>
        </w:rPr>
        <w:t xml:space="preserve">Across the parts completed, the work produced thirteen written deliverables — four of them rendered as standalone, validated Word documents (Parts A, C, G, and M) and one rendered as a package of twelve Word documents (Part K) — alongside detailed, paste-ready technical content for Parts B, D, E, F, H, I, and J. Every deliverable is cross-referenced to the others, so that a control described in one part (for example, the ownFarmOnly middleware in Part C) is consistently reused rather than re-invented when it is needed again elsewhere (for example, in Part D's API security checklist or Part J's AI data-gating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1"/>
              <w:left w:val="single" w:color="B7950B" w:sz="14"/>
              <w:bottom w:val="single" w:color="B7950B" w:sz="1"/>
              <w:right w:val="single" w:color="B7950B" w:sz="1"/>
            </w:tcBorders>
            <w:shd w:fill="FEF9E7" w:val="clear"/>
            <w:tcMar>
              <w:top w:type="dxa" w:w="140"/>
              <w:left w:type="dxa" w:w="220"/>
              <w:bottom w:type="dxa" w:w="140"/>
              <w:right w:type="dxa" w:w="220"/>
            </w:tcMar>
          </w:tcPr>
          <w:p>
            <w:pPr>
              <w:spacing w:after="80"/>
            </w:pPr>
            <w:r>
              <w:rPr>
                <w:rFonts w:ascii="Arial" w:cs="Arial" w:eastAsia="Arial" w:hAnsi="Arial"/>
                <w:b/>
                <w:bCs/>
                <w:color w:val="B7950B"/>
                <w:sz w:val="21"/>
                <w:szCs w:val="21"/>
              </w:rPr>
              <w:t xml:space="preserve">In one sentence:</w:t>
            </w:r>
          </w:p>
          <w:p>
            <w:pPr>
              <w:spacing w:after="40" w:before="40"/>
            </w:pPr>
            <w:r>
              <w:rPr>
                <w:rFonts w:ascii="Arial" w:cs="Arial" w:eastAsia="Arial" w:hAnsi="Arial"/>
                <w:color w:val="1A1A2E"/>
                <w:sz w:val="19"/>
                <w:szCs w:val="19"/>
              </w:rPr>
              <w:t xml:space="preserve">The internship has moved Eartigo from a list of features to a documented, implementable, and auditable security and compliance posture covering every data type the platform touches — personal, financial, and farm intelligence — and every stage of that data's lifecycle, from collection and consent through to deletion and breach response.</w:t>
            </w:r>
          </w:p>
        </w:tc>
      </w:tr>
    </w:tbl>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2. Internship Guide Structure</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The Eartigo Cybersecurity &amp; Data Protection Teamship Guide is organised into fifteen parts (A through O). The table below gives a one-line description of each part and its completion status as covered in this internship engagement.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500"/>
        <w:gridCol w:w="3240"/>
      </w:tblGrid>
      <w:tr>
        <w:trPr>
          <w:tblHeader/>
        </w:trPr>
        <w:tc>
          <w:tcPr>
            <w:tcW w:type="dxa" w:w="62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Part</w:t>
            </w:r>
          </w:p>
        </w:tc>
        <w:tc>
          <w:tcPr>
            <w:tcW w:type="dxa" w:w="55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Title</w:t>
            </w:r>
          </w:p>
        </w:tc>
        <w:tc>
          <w:tcPr>
            <w:tcW w:type="dxa" w:w="324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A</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Data Mapping — Data Inventory (Category 1: Personal Data; Category 2: Farm Intelligence Data)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DOCX delivered</w:t>
            </w:r>
          </w:p>
        </w:tc>
      </w:tr>
      <w:tr>
        <w:tc>
          <w:tcPr>
            <w:tcW w:type="dxa" w:w="6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B</w:t>
            </w:r>
          </w:p>
        </w:tc>
        <w:tc>
          <w:tcPr>
            <w:tcW w:type="dxa" w:w="5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DPDP Act Concepts for Eartigo (Data Principal, Data Fiduciary, Data Processors, Consent)</w:t>
            </w:r>
          </w:p>
        </w:tc>
        <w:tc>
          <w:tcPr>
            <w:tcW w:type="dxa" w:w="3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content delivered</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C</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Access Control (RBAC Matrix, IDOR Prevention, Testing, Privilege Escalation)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DOCX delivered</w:t>
            </w:r>
          </w:p>
        </w:tc>
      </w:tr>
      <w:tr>
        <w:tc>
          <w:tcPr>
            <w:tcW w:type="dxa" w:w="6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D</w:t>
            </w:r>
          </w:p>
        </w:tc>
        <w:tc>
          <w:tcPr>
            <w:tcW w:type="dxa" w:w="5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API &amp; Backend Security (Input validation, MongoDB security, Sensitive Fields)</w:t>
            </w:r>
          </w:p>
        </w:tc>
        <w:tc>
          <w:tcPr>
            <w:tcW w:type="dxa" w:w="3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content delivered</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E</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Consent &amp; Notice Review (11 forms reviewed, consent text, technical storage)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content delivered</w:t>
            </w:r>
          </w:p>
        </w:tc>
      </w:tr>
      <w:tr>
        <w:tc>
          <w:tcPr>
            <w:tcW w:type="dxa" w:w="6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F</w:t>
            </w:r>
          </w:p>
        </w:tc>
        <w:tc>
          <w:tcPr>
            <w:tcW w:type="dxa" w:w="5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File Upload Security (KYC docs, drone imagery, magic bytes, S3 policy)</w:t>
            </w:r>
          </w:p>
        </w:tc>
        <w:tc>
          <w:tcPr>
            <w:tcW w:type="dxa" w:w="3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content delivered</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G</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Password, OTP &amp; Session Security (Hashing, OTP service, JWT lifecycle)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DOCX delivered</w:t>
            </w:r>
          </w:p>
        </w:tc>
      </w:tr>
      <w:tr>
        <w:tc>
          <w:tcPr>
            <w:tcW w:type="dxa" w:w="6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H</w:t>
            </w:r>
          </w:p>
        </w:tc>
        <w:tc>
          <w:tcPr>
            <w:tcW w:type="dxa" w:w="5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Logging &amp; Monitoring (What to log, what never to log, redaction)</w:t>
            </w:r>
          </w:p>
        </w:tc>
        <w:tc>
          <w:tcPr>
            <w:tcW w:type="dxa" w:w="3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content delivered</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I</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Breach Readiness (5-step response plan, CERT-In 6-hour rule)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content delivered</w:t>
            </w:r>
          </w:p>
        </w:tc>
      </w:tr>
      <w:tr>
        <w:tc>
          <w:tcPr>
            <w:tcW w:type="dxa" w:w="6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J</w:t>
            </w:r>
          </w:p>
        </w:tc>
        <w:tc>
          <w:tcPr>
            <w:tcW w:type="dxa" w:w="5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AI &amp; Precision Agriculture Data Safety (Safe AI usage, output ethics)</w:t>
            </w:r>
          </w:p>
        </w:tc>
        <w:tc>
          <w:tcPr>
            <w:tcW w:type="dxa" w:w="3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content delivered</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K</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Privacy Policy &amp; Compliance Documents (12 required documents)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12 DOCX delivered as package</w:t>
            </w:r>
          </w:p>
        </w:tc>
      </w:tr>
      <w:tr>
        <w:tc>
          <w:tcPr>
            <w:tcW w:type="dxa" w:w="6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L</w:t>
            </w:r>
          </w:p>
        </w:tc>
        <w:tc>
          <w:tcPr>
            <w:tcW w:type="dxa" w:w="5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Not covered in this engagement</w:t>
            </w:r>
          </w:p>
        </w:tc>
        <w:tc>
          <w:tcPr>
            <w:tcW w:type="dxa" w:w="3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888888"/>
                <w:sz w:val="17"/>
                <w:szCs w:val="17"/>
              </w:rPr>
              <w:t xml:space="preserve">Not requested</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M</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Daily Security Checklist (12-question pre-review gate)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5E20"/>
                <w:sz w:val="17"/>
                <w:szCs w:val="17"/>
              </w:rPr>
              <w:t xml:space="preserve">Completed — DOCX delivered</w:t>
            </w:r>
          </w:p>
        </w:tc>
      </w:tr>
      <w:tr>
        <w:tc>
          <w:tcPr>
            <w:tcW w:type="dxa" w:w="6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N</w:t>
            </w:r>
          </w:p>
        </w:tc>
        <w:tc>
          <w:tcPr>
            <w:tcW w:type="dxa" w:w="55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Useful Reference Resources (external API and compliance documentation links, e.g. ISRO Bhuvan/Planet Labs for satellite API review, Razorpay/PayU and PCI-DSS for payment security)</w:t>
            </w:r>
          </w:p>
        </w:tc>
        <w:tc>
          <w:tcPr>
            <w:tcW w:type="dxa" w:w="324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B7600A"/>
                <w:sz w:val="17"/>
                <w:szCs w:val="17"/>
              </w:rPr>
              <w:t xml:space="preserve">Referenced in source material; not independently produced as a deliverable</w:t>
            </w:r>
          </w:p>
        </w:tc>
      </w:tr>
      <w:tr>
        <w:tc>
          <w:tcPr>
            <w:tcW w:type="dxa" w:w="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O</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Final Outcomes Expected from Team</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B7600A"/>
                <w:sz w:val="17"/>
                <w:szCs w:val="17"/>
              </w:rPr>
              <w:t xml:space="preserve">Answered in Section 5 of this report</w:t>
            </w:r>
          </w:p>
        </w:tc>
      </w:tr>
    </w:tbl>
    <w:p>
      <w:r>
        <w:t xml:space="preserve"/>
      </w:r>
    </w:p>
    <w:p>
      <w:pPr>
        <w:spacing w:after="60" w:before="60"/>
        <w:jc w:val="left"/>
      </w:pPr>
      <w:r>
        <w:rPr>
          <w:rFonts w:ascii="Arial" w:cs="Arial" w:eastAsia="Arial" w:hAnsi="Arial"/>
          <w:i/>
          <w:iCs/>
          <w:color w:val="1A1A2E"/>
          <w:sz w:val="20"/>
          <w:szCs w:val="20"/>
        </w:rPr>
        <w:t xml:space="preserve">Part L was not part of this engagement's scope and is noted only for completeness of the guide's structure. Part N is a reference-resources section in the source guide (pointing to external documentation such as the ISRO Bhuvan and Planet Labs satellite APIs, and Razorpay/PayU developer security documentation plus PCI-DSS checklists) rather than a deliverable the team produces — it is listed here because it forms part of the overall guide numbering, immediately preceding Part O.</w:t>
      </w:r>
    </w:p>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3. Summary of Work Completed, by Part</w:t>
      </w:r>
    </w:p>
    <w:p>
      <w:pPr>
        <w:pBdr>
          <w:bottom w:val="single" w:color="52B788" w:sz="6" w:space="1"/>
        </w:pBdr>
        <w:spacing w:after="60" w:before="60"/>
      </w:pPr>
      <w:r>
        <w:t xml:space="preserve"/>
      </w:r>
    </w:p>
    <w:p>
      <w:r>
        <w:t xml:space="preserve"/>
      </w:r>
    </w:p>
    <w:p>
      <w:pPr>
        <w:pStyle w:val="Heading2"/>
        <w:spacing w:after="100" w:before="220"/>
      </w:pPr>
      <w:r>
        <w:rPr>
          <w:rFonts w:ascii="Arial" w:cs="Arial" w:eastAsia="Arial" w:hAnsi="Arial"/>
          <w:b/>
          <w:bCs/>
          <w:color w:val="2D6A4F"/>
          <w:sz w:val="25"/>
          <w:szCs w:val="25"/>
        </w:rPr>
        <w:t xml:space="preserve">Part A — Data Mapping</w:t>
      </w:r>
    </w:p>
    <w:p>
      <w:pPr>
        <w:spacing w:after="60" w:before="60"/>
        <w:jc w:val="left"/>
      </w:pPr>
      <w:r>
        <w:rPr>
          <w:rFonts w:ascii="Arial" w:cs="Arial" w:eastAsia="Arial" w:hAnsi="Arial"/>
          <w:color w:val="1A1A2E"/>
          <w:sz w:val="20"/>
          <w:szCs w:val="20"/>
        </w:rPr>
        <w:t xml:space="preserve">Produced a complete, two-category data inventory: Category 1 (Personal Data — farmer registration, buyer registration, KYC, listings, orders, payouts, analytics, support) and Category 2 (Farm Intelligence Data — GPS boundaries, satellite imagery, drone imagery, IoT sensor data, AI crop assessments, yield estimates, pest/disease logs). Each entry answers all eight inventory questions: what is collected, why, where stored, who can access it, retention, third-party sharing, cross-border status, and consent capture. Delivered as a formatted Word document with colour-coded sensitivity ratings and a full set of security implementation tables (Aadhaar tokenisation, AES-256-GCM encryption, S3 private buckets, RBAC, consent module, etc.), plus sample Node.js implementation code.</w:t>
      </w:r>
    </w:p>
    <w:p>
      <w:pPr>
        <w:pStyle w:val="Heading2"/>
        <w:spacing w:after="100" w:before="220"/>
      </w:pPr>
      <w:r>
        <w:rPr>
          <w:rFonts w:ascii="Arial" w:cs="Arial" w:eastAsia="Arial" w:hAnsi="Arial"/>
          <w:b/>
          <w:bCs/>
          <w:color w:val="2D6A4F"/>
          <w:sz w:val="25"/>
          <w:szCs w:val="25"/>
        </w:rPr>
        <w:t xml:space="preserve">Part B — DPDP Act Concepts for Eartigo</w:t>
      </w:r>
    </w:p>
    <w:p>
      <w:pPr>
        <w:spacing w:after="60" w:before="60"/>
        <w:jc w:val="left"/>
      </w:pPr>
      <w:r>
        <w:rPr>
          <w:rFonts w:ascii="Arial" w:cs="Arial" w:eastAsia="Arial" w:hAnsi="Arial"/>
          <w:color w:val="1A1A2E"/>
          <w:sz w:val="20"/>
          <w:szCs w:val="20"/>
        </w:rPr>
        <w:t xml:space="preserve">Mapped Eartigo's users (farmer, buyer, logistics partner, admin/operations staff) to the DPDP Act's "Data Principal" concept, defined Eartigo's own role as "Data Fiduciary," and catalogued every "Data Processor" relationship (cloud hosting, payment aggregator, SMS/OTP provider, logistics, satellite vendor, drone operator, analytics, AI/ML service, KYC intermediary) together with the Data Processing Agreement requirements for each. Built out a full consent map tying each data category and activity to the specific consent required, plus a Consent Management Module architecture (append-only consent_logs collection, consent dashboard, propagation of withdrawal).</w:t>
      </w:r>
    </w:p>
    <w:p>
      <w:pPr>
        <w:pStyle w:val="Heading2"/>
        <w:spacing w:after="100" w:before="220"/>
      </w:pPr>
      <w:r>
        <w:rPr>
          <w:rFonts w:ascii="Arial" w:cs="Arial" w:eastAsia="Arial" w:hAnsi="Arial"/>
          <w:b/>
          <w:bCs/>
          <w:color w:val="2D6A4F"/>
          <w:sz w:val="25"/>
          <w:szCs w:val="25"/>
        </w:rPr>
        <w:t xml:space="preserve">Part C — Access Control</w:t>
      </w:r>
    </w:p>
    <w:p>
      <w:pPr>
        <w:spacing w:after="60" w:before="60"/>
        <w:jc w:val="left"/>
      </w:pPr>
      <w:r>
        <w:rPr>
          <w:rFonts w:ascii="Arial" w:cs="Arial" w:eastAsia="Arial" w:hAnsi="Arial"/>
          <w:color w:val="1A1A2E"/>
          <w:sz w:val="20"/>
          <w:szCs w:val="20"/>
        </w:rPr>
        <w:t xml:space="preserve">Delivered a 10-role RBAC matrix (farmer, buyer, ops admin, finance admin, analyst, agronomist, super admin, satellite/drone vendor, KYC intermediary, support agent) specifying exactly what each role should and must not access. Provided working Node.js middleware for authentication, role guards, and IDOR prevention (ownFarmOnly, ownProfileOnly, assignedFarmOnly, analyst PII-stripping aggregation). Documented JWT token lifecycle (15-minute access tokens, Redis blocklisting), 12 access control test scenarios with expected results, a 10-item privilege escalation checklist, admin panel controls (MFA, append-only audit logging, IP allowlisting), and a field-level data sensitivity table. Delivered as a formatted Word document.</w:t>
      </w:r>
    </w:p>
    <w:p>
      <w:pPr>
        <w:pStyle w:val="Heading2"/>
        <w:spacing w:after="100" w:before="220"/>
      </w:pPr>
      <w:r>
        <w:rPr>
          <w:rFonts w:ascii="Arial" w:cs="Arial" w:eastAsia="Arial" w:hAnsi="Arial"/>
          <w:b/>
          <w:bCs/>
          <w:color w:val="2D6A4F"/>
          <w:sz w:val="25"/>
          <w:szCs w:val="25"/>
        </w:rPr>
        <w:t xml:space="preserve">Part D — API &amp; Backend Security</w:t>
      </w:r>
    </w:p>
    <w:p>
      <w:pPr>
        <w:spacing w:after="60" w:before="60"/>
        <w:jc w:val="left"/>
      </w:pPr>
      <w:r>
        <w:rPr>
          <w:rFonts w:ascii="Arial" w:cs="Arial" w:eastAsia="Arial" w:hAnsi="Arial"/>
          <w:color w:val="1A1A2E"/>
          <w:sz w:val="20"/>
          <w:szCs w:val="20"/>
        </w:rPr>
        <w:t xml:space="preserve">Produced a full API security checklist (authentication, role+ownership checks, input validation, file validation, rate limiting, error handling, secure logging, HTTPS, CORS) with BAD-vs-GOOD code examples for the most common failure mode (role check without ownership check). Delivered working implementations for Joi input validation, express-rate-limit configuration, Helmet.js security headers, CORS policy, and a generic-message global error handler. Covered MongoDB-specific security: separate database users (app/admin/backup), TTL indexes for OTP/session/reset-token collections, and farmer_id compound indexing to enforce multi-tenancy at the database layer. Defined the "Sensitive Fields — What NOT to Store" table and provided bcrypt password hashing, HMAC OTP hashing, magic-bytes file upload validation, and express-mongo-sanitize configuration to prevent NoSQL injection.</w:t>
      </w:r>
    </w:p>
    <w:p>
      <w:pPr>
        <w:pStyle w:val="Heading2"/>
        <w:spacing w:after="100" w:before="220"/>
      </w:pPr>
      <w:r>
        <w:rPr>
          <w:rFonts w:ascii="Arial" w:cs="Arial" w:eastAsia="Arial" w:hAnsi="Arial"/>
          <w:b/>
          <w:bCs/>
          <w:color w:val="2D6A4F"/>
          <w:sz w:val="25"/>
          <w:szCs w:val="25"/>
        </w:rPr>
        <w:t xml:space="preserve">Part E — Consent &amp; Notice Review</w:t>
      </w:r>
    </w:p>
    <w:p>
      <w:pPr>
        <w:spacing w:after="60" w:before="60"/>
        <w:jc w:val="left"/>
      </w:pPr>
      <w:r>
        <w:rPr>
          <w:rFonts w:ascii="Arial" w:cs="Arial" w:eastAsia="Arial" w:hAnsi="Arial"/>
          <w:color w:val="1A1A2E"/>
          <w:sz w:val="20"/>
          <w:szCs w:val="20"/>
        </w:rPr>
        <w:t xml:space="preserve">Reviewed all 11 data-collecting forms on the platform (farmer registration, KYC/Aadhaar linking, bank account linkage, farm onboarding/digital twin, drone imagery consent, product listing, buyer registration, checkout, marketing opt-in, support/grievance, government scheme sharing) against a DPDP-compliance checklist (no pre-ticked boxes, specific purpose, named third parties, retention stated, withdrawal described). Provided exact consent notice text for each form, the technical consent_logs MongoDB schema with append-only enforcement, and a full implementation pattern for recording and withdrawing consent in code.</w:t>
      </w:r>
    </w:p>
    <w:p>
      <w:pPr>
        <w:pStyle w:val="Heading2"/>
        <w:spacing w:after="100" w:before="220"/>
      </w:pPr>
      <w:r>
        <w:rPr>
          <w:rFonts w:ascii="Arial" w:cs="Arial" w:eastAsia="Arial" w:hAnsi="Arial"/>
          <w:b/>
          <w:bCs/>
          <w:color w:val="2D6A4F"/>
          <w:sz w:val="25"/>
          <w:szCs w:val="25"/>
        </w:rPr>
        <w:t xml:space="preserve">Part F — File Upload Security</w:t>
      </w:r>
    </w:p>
    <w:p>
      <w:pPr>
        <w:spacing w:after="60" w:before="60"/>
        <w:jc w:val="left"/>
      </w:pPr>
      <w:r>
        <w:rPr>
          <w:rFonts w:ascii="Arial" w:cs="Arial" w:eastAsia="Arial" w:hAnsi="Arial"/>
          <w:color w:val="1A1A2E"/>
          <w:sz w:val="20"/>
          <w:szCs w:val="20"/>
        </w:rPr>
        <w:t xml:space="preserve">Catalogued every upload type on the platform (product photos, KYC documents, Aadhaar/PAN scans, land records, drone imagery, soil reports, delivery proof, support attachments) with sensitivity rating and storage location. Delivered a full upload security requirements table and a complete, production-ready implementation: multer configuration with magic-bytes validation, blocked executable extensions, EXIF metadata stripping, secure randomised S3 key generation, pre-signed URL generation with ownership verification, an UploadRecord schema that never stores the original filename, an S3 bucket policy enforcing private access and SSE-KMS encryption, and a soft-delete/hard-delete pipeline for DPDP Right to Erasure.</w:t>
      </w:r>
    </w:p>
    <w:p>
      <w:pPr>
        <w:pStyle w:val="Heading2"/>
        <w:spacing w:after="100" w:before="220"/>
      </w:pPr>
      <w:r>
        <w:rPr>
          <w:rFonts w:ascii="Arial" w:cs="Arial" w:eastAsia="Arial" w:hAnsi="Arial"/>
          <w:b/>
          <w:bCs/>
          <w:color w:val="2D6A4F"/>
          <w:sz w:val="25"/>
          <w:szCs w:val="25"/>
        </w:rPr>
        <w:t xml:space="preserve">Part G — Password, OTP &amp; Session Security</w:t>
      </w:r>
    </w:p>
    <w:p>
      <w:pPr>
        <w:spacing w:after="60" w:before="60"/>
        <w:jc w:val="left"/>
      </w:pPr>
      <w:r>
        <w:rPr>
          <w:rFonts w:ascii="Arial" w:cs="Arial" w:eastAsia="Arial" w:hAnsi="Arial"/>
          <w:color w:val="1A1A2E"/>
          <w:sz w:val="20"/>
          <w:szCs w:val="20"/>
        </w:rPr>
        <w:t xml:space="preserve">Documented the password policy (length, complexity, bcrypt/argon2id hashing, failed-login lockout with CAPTCHA, MFA) and the OTP policy specifically tuned for India's phone-based farmer authentication pattern (HMAC-SHA256 hashed storage, 5–10 minute expiry, rate limiting, attempt limiting, purpose binding so a login OTP cannot authorise a payout). Delivered working code for password validation and hashing, a Redis-backed login attempt guard, a purpose-bound OTP service (request/verify with TTL-indexed MongoDB schema), JWT access/refresh token issuance with refresh token rotation, a Redis token blocklist for logout/password-reset/suspicious-activity, and a separate short-lived payment step-up token for payout authorisation. Delivered as a formatted Word document.</w:t>
      </w:r>
    </w:p>
    <w:p>
      <w:pPr>
        <w:pStyle w:val="Heading2"/>
        <w:spacing w:after="100" w:before="220"/>
      </w:pPr>
      <w:r>
        <w:rPr>
          <w:rFonts w:ascii="Arial" w:cs="Arial" w:eastAsia="Arial" w:hAnsi="Arial"/>
          <w:b/>
          <w:bCs/>
          <w:color w:val="2D6A4F"/>
          <w:sz w:val="25"/>
          <w:szCs w:val="25"/>
        </w:rPr>
        <w:t xml:space="preserve">Part H — Logging &amp; Monitoring</w:t>
      </w:r>
    </w:p>
    <w:p>
      <w:pPr>
        <w:spacing w:after="60" w:before="60"/>
        <w:jc w:val="left"/>
      </w:pPr>
      <w:r>
        <w:rPr>
          <w:rFonts w:ascii="Arial" w:cs="Arial" w:eastAsia="Arial" w:hAnsi="Arial"/>
          <w:color w:val="1A1A2E"/>
          <w:sz w:val="20"/>
          <w:szCs w:val="20"/>
        </w:rPr>
        <w:t xml:space="preserve">Defined the full set of events that must be logged (logins, payouts, KYC attempts, farm boundary access, drone/satellite activity, admin role changes, bulk exports, failed API access, consent changes, listings, support tickets) and, just as importantly, the set that must never be logged (plaintext passwords/OTPs, full Aadhaar, full bank details, full JWTs, card data, raw GPS/imagery, health notes). Delivered a complete Pino-based structured logging implementation with a redaction list, an audit-event service writing to both real-time logs and an immutable AuditLog collection, usage examples across the platform's key actions, and a real-time alerting rules table (failed login spikes, bulk exports, admin role changes, new-IP admin logins).</w:t>
      </w:r>
    </w:p>
    <w:p>
      <w:pPr>
        <w:pStyle w:val="Heading2"/>
        <w:spacing w:after="100" w:before="220"/>
      </w:pPr>
      <w:r>
        <w:rPr>
          <w:rFonts w:ascii="Arial" w:cs="Arial" w:eastAsia="Arial" w:hAnsi="Arial"/>
          <w:b/>
          <w:bCs/>
          <w:color w:val="2D6A4F"/>
          <w:sz w:val="25"/>
          <w:szCs w:val="25"/>
        </w:rPr>
        <w:t xml:space="preserve">Part I — Breach Readiness</w:t>
      </w:r>
    </w:p>
    <w:p>
      <w:pPr>
        <w:spacing w:after="60" w:before="60"/>
        <w:jc w:val="left"/>
      </w:pPr>
      <w:r>
        <w:rPr>
          <w:rFonts w:ascii="Arial" w:cs="Arial" w:eastAsia="Arial" w:hAnsi="Arial"/>
          <w:color w:val="1A1A2E"/>
          <w:sz w:val="20"/>
          <w:szCs w:val="20"/>
        </w:rPr>
        <w:t xml:space="preserve">Built out the full five-step breach response plan — Identify, Contain, Assess, Notify, Improve — tailored specifically to Eartigo's data categories (farmer financial/KYC exposure, farm GPS/imagery access, payout system compromise, public cloud bucket misconfiguration, admin account compromise, third-party vendor breach). Detailed the CERT-In 6-hour reporting obligation and the full notification recipient list (CERT-In, affected farmers/buyers, Payment Aggregator, UIDAI, Data Protection Board), with the reasoning for each. Connected every containment and improvement action back to the specific control in Parts C, D, F, and G that it relies on or strengthens.</w:t>
      </w:r>
    </w:p>
    <w:p>
      <w:pPr>
        <w:pStyle w:val="Heading2"/>
        <w:spacing w:after="100" w:before="220"/>
      </w:pPr>
      <w:r>
        <w:rPr>
          <w:rFonts w:ascii="Arial" w:cs="Arial" w:eastAsia="Arial" w:hAnsi="Arial"/>
          <w:b/>
          <w:bCs/>
          <w:color w:val="2D6A4F"/>
          <w:sz w:val="25"/>
          <w:szCs w:val="25"/>
        </w:rPr>
        <w:t xml:space="preserve">Part J — AI &amp; Precision Agriculture Data Safety</w:t>
      </w:r>
    </w:p>
    <w:p>
      <w:pPr>
        <w:spacing w:after="60" w:before="60"/>
        <w:jc w:val="left"/>
      </w:pPr>
      <w:r>
        <w:rPr>
          <w:rFonts w:ascii="Arial" w:cs="Arial" w:eastAsia="Arial" w:hAnsi="Arial"/>
          <w:color w:val="1A1A2E"/>
          <w:sz w:val="20"/>
          <w:szCs w:val="20"/>
        </w:rPr>
        <w:t xml:space="preserve">Catalogued the six legitimate AI/ML use cases on the platform and ranked them by financial-harm risk. Delivered the AI Data Protection Checklist (data minimisation into AI requests, GPS obfuscation, output review, consent, explainability, human review for income-affecting decisions, third-party AI DPAs, prompt log privacy) with detailed guidance for each item. Provided the "avoid vs use instead" language pattern for farmer-facing AI output, the drone/satellite data ethics boundary (no insurance/credit/land-valuation use without separate consent), and full implementation code: a farm-reference data minimisation layer, an AI output review/confidence-gating queue, explainable alert formatting, an output language validator, redacted prompt logging, and a purpose-gated consent middleware enforcing the ethics boundary at the API level.</w:t>
      </w:r>
    </w:p>
    <w:p>
      <w:pPr>
        <w:pStyle w:val="Heading2"/>
        <w:spacing w:after="100" w:before="220"/>
      </w:pPr>
      <w:r>
        <w:rPr>
          <w:rFonts w:ascii="Arial" w:cs="Arial" w:eastAsia="Arial" w:hAnsi="Arial"/>
          <w:b/>
          <w:bCs/>
          <w:color w:val="2D6A4F"/>
          <w:sz w:val="25"/>
          <w:szCs w:val="25"/>
        </w:rPr>
        <w:t xml:space="preserve">Part K — Privacy Policy &amp; Compliance Documents</w:t>
      </w:r>
    </w:p>
    <w:p>
      <w:pPr>
        <w:spacing w:after="60" w:before="60"/>
        <w:jc w:val="left"/>
      </w:pPr>
      <w:r>
        <w:rPr>
          <w:rFonts w:ascii="Arial" w:cs="Arial" w:eastAsia="Arial" w:hAnsi="Arial"/>
          <w:color w:val="1A1A2E"/>
          <w:sz w:val="20"/>
          <w:szCs w:val="20"/>
        </w:rPr>
        <w:t xml:space="preserve">Produced all 12 documents from the Required Documents table as full, extensive, legally-grounded draft Word documents, packaged together with a README: Privacy Policy, Terms &amp; Conditions, Farmer Data Protection Policy, Cookie &amp; Tracking Policy, Consent Policy &amp; Notice, Data Retention Policy, Breach Response Policy, Drone &amp; Satellite Data Usage Policy, AI/ML Advisory Disclaimer, Payment &amp; Payout Terms, Seller/Farmer Agreement, and the Third-Party Processor List. Every document is cross-referenced to the others, every numeric or vendor-specific detail that only Eartigo can supply is marked with a clearly highlighted PLACEHOLDER box, and all 12 documents were validated as well-formed Word files.</w:t>
      </w:r>
    </w:p>
    <w:p>
      <w:pPr>
        <w:pStyle w:val="Heading2"/>
        <w:spacing w:after="100" w:before="220"/>
      </w:pPr>
      <w:r>
        <w:rPr>
          <w:rFonts w:ascii="Arial" w:cs="Arial" w:eastAsia="Arial" w:hAnsi="Arial"/>
          <w:b/>
          <w:bCs/>
          <w:color w:val="2D6A4F"/>
          <w:sz w:val="25"/>
          <w:szCs w:val="25"/>
        </w:rPr>
        <w:t xml:space="preserve">Part M — Daily Security Checklist</w:t>
      </w:r>
    </w:p>
    <w:p>
      <w:pPr>
        <w:spacing w:after="60" w:before="60"/>
        <w:jc w:val="left"/>
      </w:pPr>
      <w:r>
        <w:rPr>
          <w:rFonts w:ascii="Arial" w:cs="Arial" w:eastAsia="Arial" w:hAnsi="Arial"/>
          <w:color w:val="1A1A2E"/>
          <w:sz w:val="20"/>
          <w:szCs w:val="20"/>
        </w:rPr>
        <w:t xml:space="preserve">Converted the 12-question daily review checklist into a full reference document, answering each question (data necessity, consent, Aadhaar/bank/card involvement, GPS/satellite involvement, API auth+role+ownership, file upload validation, log visibility, third-party DPA, data localisation, retention/deletion, audit logging, breach scenario) with a direct pointer back to the specific Part and implementation that resolves it, plus a one-page quick-reference summary table for fast use during code, form, or API reviews.</w:t>
      </w:r>
    </w:p>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4. Artifacts Delivered</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The following standalone files were generated over the course of the internship and delivered for direct use, academic submission, or as a working reference for the development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File / Package</w:t>
            </w:r>
          </w:p>
        </w:tc>
        <w:tc>
          <w:tcPr>
            <w:tcW w:type="dxa" w:w="90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Part</w:t>
            </w:r>
          </w:p>
        </w:tc>
        <w:tc>
          <w:tcPr>
            <w:tcW w:type="dxa" w:w="5260"/>
            <w:tcBorders>
              <w:top w:val="single" w:color="52B788" w:sz="1"/>
              <w:left w:val="single" w:color="52B788" w:sz="1"/>
              <w:bottom w:val="single" w:color="52B788" w:sz="1"/>
              <w:right w:val="single" w:color="52B788" w:sz="1"/>
            </w:tcBorders>
            <w:shd w:fill="1B4332" w:val="clear"/>
            <w:tcMar>
              <w:top w:type="dxa" w:w="100"/>
              <w:left w:type="dxa" w:w="140"/>
              <w:bottom w:type="dxa" w:w="100"/>
              <w:right w:type="dxa" w:w="140"/>
            </w:tcMar>
            <w:vAlign w:val="center"/>
          </w:tcPr>
          <w:p>
            <w:r>
              <w:rPr>
                <w:rFonts w:ascii="Arial" w:cs="Arial" w:eastAsia="Arial" w:hAnsi="Arial"/>
                <w:b/>
                <w:bCs/>
                <w:color w:val="FFFFFF"/>
                <w:sz w:val="18"/>
                <w:szCs w:val="18"/>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Eartigo_PartA_DataInventory_SecurityGuide.docx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A</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Full data inventory (2 categories), 8-question goals matrix, security implementations, code samples, glossary</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Eartigo_PartC_AccessControl.docx</w:t>
            </w:r>
          </w:p>
        </w:tc>
        <w:tc>
          <w:tcPr>
            <w:tcW w:type="dxa" w:w="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w:t>
            </w:r>
          </w:p>
        </w:tc>
        <w:tc>
          <w:tcPr>
            <w:tcW w:type="dxa" w:w="52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RBAC matrix, IDOR middleware, JWT lifecycle, 12 test scenarios, privilege escalation checklist, admin controls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Eartigo_PartG_PasswordOTPSession.docx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Password policy, OTP service implementation, JWT/session security, payment step-up token</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Eartigo_PartK_Policy_Documents.zip</w:t>
            </w:r>
          </w:p>
        </w:tc>
        <w:tc>
          <w:tcPr>
            <w:tcW w:type="dxa" w:w="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K</w:t>
            </w:r>
          </w:p>
        </w:tc>
        <w:tc>
          <w:tcPr>
            <w:tcW w:type="dxa" w:w="52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12 individual DOCX files — every required privacy/compliance document, plus README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17"/>
                <w:szCs w:val="17"/>
              </w:rPr>
              <w:t xml:space="preserve">Eartigo_PartM_Daily_Security_Checklist.docx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M</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12-question review gate, answered and cross-referenced, with quick-reference table</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bCs/>
                <w:color w:val="1A1A2E"/>
                <w:sz w:val="17"/>
                <w:szCs w:val="17"/>
              </w:rPr>
              <w:t xml:space="preserve">This Final Report</w:t>
            </w:r>
          </w:p>
        </w:tc>
        <w:tc>
          <w:tcPr>
            <w:tcW w:type="dxa" w:w="9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Summary + O</w:t>
            </w:r>
          </w:p>
        </w:tc>
        <w:tc>
          <w:tcPr>
            <w:tcW w:type="dxa" w:w="52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vAlign w:val="center"/>
          </w:tcPr>
          <w:p>
            <w:r>
              <w:rPr>
                <w:rFonts w:ascii="Arial" w:cs="Arial" w:eastAsia="Arial" w:hAnsi="Arial"/>
                <w:b w:val="false"/>
                <w:bCs w:val="false"/>
                <w:color w:val="1A1A2E"/>
                <w:sz w:val="17"/>
                <w:szCs w:val="17"/>
              </w:rPr>
              <w:t xml:space="preserve">Consolidated summary of all parts, artifact list, and Part O outcomes answered</w:t>
            </w:r>
          </w:p>
        </w:tc>
      </w:tr>
    </w:tbl>
    <w:p>
      <w:r>
        <w:t xml:space="preserve"/>
      </w:r>
    </w:p>
    <w:p>
      <w:pPr>
        <w:spacing w:after="60" w:before="60"/>
        <w:jc w:val="left"/>
      </w:pPr>
      <w:r>
        <w:rPr>
          <w:rFonts w:ascii="Arial" w:cs="Arial" w:eastAsia="Arial" w:hAnsi="Arial"/>
          <w:color w:val="1A1A2E"/>
          <w:sz w:val="20"/>
          <w:szCs w:val="20"/>
        </w:rPr>
        <w:t xml:space="preserve">Parts B, D, E, F, H, I, and J were delivered as detailed, ready-to-paste written content directly in the conversation (per the explicit request not to generate files for those parts), covering the same depth of detail as the standalone documents — including, where applicable, working implementation code for the development team.</w:t>
      </w:r>
    </w:p>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5. Part O — Final Outcomes Expected from Team</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Part O of the Teamship Guide lists twelve outcomes the team is expected to help Eartigo achieve by the end of the internship. Each is addressed below, with a direct reference to where it has been delivered in this engagement.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44</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Clear data inventory covering both personal and farm intelligence data</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Delivered in full in Part A. Category 1 (Personal Data) covers all eight farmer/buyer modules with sensitivity ratings, retention periods, and third-party sharing flags. Category 2 (Farm Intelligence Data) covers all seven precision-agriculture data types with legal framework references and storage/access control notes. The accompanying 8-question goals matrix confirms every data type has a documented answer for what, why, where, who, how long, third-party sharing, cross-border status, and consent.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45</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DPDP Act, IT Act, and Consumer Protection E-Commerce Rules compliance readiness</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DPDP Act concepts (Data Principal, Data Fiduciary, Data Processor, consent principles) are mapped in Part B. IT Act / SPDI Rules obligations (sensitive personal data categories, reasonable security practices) run through Parts A, D, F, G, and H. Consumer Protection (E-Commerce) Rules 2020 obligations — Grievance Officer, return/refund disclosure, seller information — are written directly into the Privacy Policy, Terms &amp; Conditions, and Seller/Farmer Agreement in Part K. Taken together, the three regulatory frameworks named in this outcome are each addressed by a specific, identifiable deliverable rather than a general statement of intent.</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46</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Secure farmer financial data handling (KYC, bank, payout)</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KYC: Aadhaar handling is restricted to a masked token plus verification flag via a licensed KYC intermediary, never a full Aadhaar number (Part A, Part D, Part K's Privacy Policy Section 6). Bank data: AES-256-GCM field encryption and routing through an RBI-licensed Payment Aggregator, with full account numbers never stored on Eartigo's own servers (Part A, Part D, Part K's Payment &amp; Payout Terms). Payout: purpose-bound OTP authorisation distinct from login OTP, a separate short-lived payment step-up token, and fraud-detection monitoring (Part G, Part K's Payment &amp; Payout Terms Section 8).</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47</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Strong API access control with farmer/ownership-level isolation</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Part C delivers the full RBAC matrix and the three IDOR-prevention middleware functions (ownFarmOnly, ownProfileOnly, assignedFarmOnly) that enforce ownership-level isolation on top of role checks. Part D reinforces this with the explicit four-layer check pattern (authentication, role, tenant ownership, record ownership) and a worked BAD-vs-GOOD example showing exactly what isolation failure looks like in code. The 12 access control test scenarios in Part C give the team a concrete way to verify this isolation holds before any release.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48</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Consent-aware forms for all data collection including farm GPS and AI analysis</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All 11 data-collecting forms — including farm onboarding/digital twin creation, drone imagery consent, and AI crop analysis consent — were reviewed in Part E against the DPDP five-condition test (free, specific, informed, unconditional, unambiguous) and given exact consent notice text. Part K's Consent Policy &amp; Notice formalises this into a public-facing document, and Part J adds a further layer specific to AI: the requirement that farmers know AI is being used on their data, and that high-impact AI outputs (yield estimates, market timing) get human review before being shown.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49</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Secure document and imagery upload pipeline (KYC, drone, satellite)</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Part F delivers the complete pipeline: magic-bytes validation (not extension-based), blocked executable types, EXIF stripping, UUID-based S3 keys with no original filename retained, private-bucket-by-default storage with SSE-KMS encryption, 15-minute pre-signed URL access gated by an ownership check, and a soft-delete/hard-delete lifecycle. Drone-specific controls (DGCA operator UIN verification, no-fly zone checking) are layered on top, consistent with the Drone &amp; Satellite Data Usage Policy in Part K.</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50</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Role-based data access matrix implemented and tested</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The matrix itself (10 roles, by data type) is delivered in Part C, alongside working Express middleware (requireRole) that enforces it server-side. The "tested" half of this outcome is addressed by the 12 access control test scenarios in Part C and the field-level data sensitivity table in Part C, Section C.9, which specifies exactly what each role may and may not see at the individual field level — not just at the endpoint level.</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51</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Privacy policy improvement list aligned with all applicable Indian laws</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Rather than a list of suggested improvements to an existing policy, the engagement produced the full set of 12 required documents from scratch in Part K, each grounded in the specific Indian legal framework that applies to it — DPDP Act 2023, IT Act 2000 / SPDI Rules 2011, Consumer Protection (E-Commerce) Rules 2020, Aadhaar Act 2016, RBI Payment Aggregator Guidelines 2020, Remote Sensing Data Policy 2011, and Drone Rules 2021. Every document carries clearly marked placeholders for the entity-specific details (legal name, Grievance Officer, named vendors) that remain for Eartigo and legal counsel to finalise before publication.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52</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CERT-In aligned breach response SOP (6-hour reporting ready)</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Part I delivers the full five-step SOP (Identify, Contain, Assess, Notify, Improve) with the CERT-In 6-hour reporting obligation called out explicitly and positioned correctly in the sequence — notification must not wait for full impact assessment. Part K's Breach Response Policy formalises this into an internal governing document with breach classification levels, a roles-and-responsibilities table, a breach register schema, and pre-approved communication templates, ready for use the moment an incident occurs.</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53</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Logging and monitoring checklist aligned with CERT-In 180-day retention requirement</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Part H delivers both halves of this requirement: the "what should be logged" table (13+ event categories) and the "what must never be logged" table, plus a working Pino-based redaction implementation and an audit-event service that writes to an immutable AuditLog collection. The 180-day CERT-In retention requirement is stated explicitly as a configuration requirement for the centralised log management system, alongside NTP clock synchronisation and access-restricted log storage.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54</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Cybersecurity checklist for future development</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Part M is purpose-built for this outcome: a 12-question gate to be run during every code review, form review, or API review, with each question pointing back to the specific control and Part that resolves it. This is designed to outlive the internship itself — it is the mechanism by which future development on Eartigo, after the current team has moved on, continues to apply the same standards established in Parts A through K.</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single" w:color="52B788" w:sz="1"/>
              <w:left w:val="single" w:color="52B788" w:sz="1"/>
              <w:bottom w:val="single" w:color="52B788" w:sz="1"/>
              <w:right w:val="single" w:color="52B788" w:sz="1"/>
            </w:tcBorders>
            <w:shd w:fill="1B4332"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55</w:t>
            </w:r>
          </w:p>
        </w:tc>
        <w:tc>
          <w:tcPr>
            <w:tcW w:type="dxa" w:w="8740"/>
            <w:tcBorders>
              <w:top w:val="single" w:color="52B788" w:sz="1"/>
              <w:left w:val="single" w:color="52B788" w:sz="1"/>
              <w:bottom w:val="single" w:color="52B788" w:sz="1"/>
              <w:right w:val="single" w:color="52B788" w:sz="1"/>
            </w:tcBorders>
            <w:shd w:fill="D8F3DC" w:val="clear"/>
            <w:tcMar>
              <w:top w:type="dxa" w:w="100"/>
              <w:left w:type="dxa" w:w="160"/>
              <w:bottom w:type="dxa" w:w="100"/>
              <w:right w:type="dxa" w:w="160"/>
            </w:tcMar>
            <w:vAlign w:val="center"/>
          </w:tcPr>
          <w:p>
            <w:r>
              <w:rPr>
                <w:rFonts w:ascii="Arial" w:cs="Arial" w:eastAsia="Arial" w:hAnsi="Arial"/>
                <w:b/>
                <w:bCs/>
                <w:color w:val="1B4332"/>
                <w:sz w:val="20"/>
                <w:szCs w:val="20"/>
              </w:rPr>
              <w:t xml:space="preserve">Farm intelligence data ethics guidelines for AI/ML outputs</w:t>
            </w:r>
          </w:p>
        </w:tc>
      </w:tr>
    </w:tbl>
    <w:p>
      <w:r>
        <w:t xml:space="preserve"/>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Borders>
              <w:top w:val="single" w:color="1B5E20" w:sz="1"/>
              <w:left w:val="single" w:color="1B5E20" w:sz="1"/>
              <w:bottom w:val="single" w:color="1B5E20" w:sz="1"/>
              <w:right w:val="single" w:color="1B5E20" w:sz="1"/>
            </w:tcBorders>
            <w:shd w:fill="E8F5E9" w:val="clear"/>
            <w:tcMar>
              <w:top w:type="dxa" w:w="60"/>
              <w:left w:type="dxa" w:w="120"/>
              <w:bottom w:type="dxa" w:w="60"/>
              <w:right w:type="dxa" w:w="120"/>
            </w:tcMar>
          </w:tcPr>
          <w:p>
            <w:r>
              <w:rPr>
                <w:rFonts w:ascii="Arial" w:cs="Arial" w:eastAsia="Arial" w:hAnsi="Arial"/>
                <w:b/>
                <w:bCs/>
                <w:color w:val="1B5E20"/>
                <w:sz w:val="17"/>
                <w:szCs w:val="17"/>
              </w:rPr>
              <w:t xml:space="preserve">ACHIEVED</w:t>
            </w:r>
          </w:p>
        </w:tc>
      </w:tr>
    </w:tbl>
    <w:p>
      <w:pPr>
        <w:spacing w:after="60" w:before="60"/>
        <w:jc w:val="left"/>
      </w:pPr>
      <w:r>
        <w:rPr>
          <w:rFonts w:ascii="Arial" w:cs="Arial" w:eastAsia="Arial" w:hAnsi="Arial"/>
          <w:color w:val="1A1A2E"/>
          <w:sz w:val="20"/>
          <w:szCs w:val="20"/>
        </w:rPr>
        <w:t xml:space="preserve">Part J delivers the full ethics framework: risk-ranked AI use cases, the AI Data Protection Checklist, the explicit "avoid vs use instead" language guide for farmer-facing output (no "will definitely fail," no "abandon this field"), the drone &amp; satellite data ethics boundary prohibiting insurance/credit/land-valuation use without separate consent, and a working purpose-gating middleware that enforces that boundary technically rather than leaving it as a policy statement alone. Part K's AI/ML Advisory Disclaimer carries this into the user-facing legal documentation.</w:t>
      </w:r>
    </w:p>
    <w:p>
      <w:r>
        <w:t xml:space="preserve"/>
      </w:r>
    </w:p>
    <w:p>
      <w:r>
        <w:t xml:space="preserve"/>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b/>
          <w:bCs/>
          <w:color w:val="1A1A2E"/>
          <w:sz w:val="20"/>
          <w:szCs w:val="20"/>
        </w:rPr>
        <w:t xml:space="preserve">Summary: all twelve outcomes listed in Part O have a specific, identifiable deliverable behind them, produced over the course of this engagement and cross-referenced in Section 3 and Section 4 above. None of the twelve rest on a general statement of intent alone — each is backed by either a working code implementation, a formatted compliance document, or both.</w:t>
      </w:r>
    </w:p>
    <w:p>
      <w:r>
        <w:t xml:space="preserve"/>
      </w:r>
    </w:p>
    <w:p>
      <w:r>
        <w:t xml:space="preserve"/>
      </w:r>
    </w:p>
    <w:p>
      <w:r>
        <w:br w:type="page"/>
      </w:r>
    </w:p>
    <w:p>
      <w:pPr>
        <w:pStyle w:val="Heading1"/>
        <w:spacing w:after="140" w:before="320"/>
      </w:pPr>
      <w:r>
        <w:rPr>
          <w:rFonts w:ascii="Arial" w:cs="Arial" w:eastAsia="Arial" w:hAnsi="Arial"/>
          <w:b/>
          <w:bCs/>
          <w:color w:val="1B4332"/>
          <w:sz w:val="32"/>
          <w:szCs w:val="32"/>
        </w:rPr>
        <w:t xml:space="preserve">6. Final Guidance for the Team</w:t>
      </w:r>
    </w:p>
    <w:p>
      <w:pPr>
        <w:pBdr>
          <w:bottom w:val="single" w:color="52B788" w:sz="6" w:space="1"/>
        </w:pBdr>
        <w:spacing w:after="60" w:before="6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950B" w:sz="1"/>
              <w:left w:val="single" w:color="B7950B" w:sz="14"/>
              <w:bottom w:val="single" w:color="B7950B" w:sz="1"/>
              <w:right w:val="single" w:color="B7950B" w:sz="1"/>
            </w:tcBorders>
            <w:shd w:fill="FEF9E7" w:val="clear"/>
            <w:tcMar>
              <w:top w:type="dxa" w:w="140"/>
              <w:left w:type="dxa" w:w="220"/>
              <w:bottom w:type="dxa" w:w="140"/>
              <w:right w:type="dxa" w:w="220"/>
            </w:tcMar>
          </w:tcPr>
          <w:p>
            <w:pPr>
              <w:spacing w:after="80"/>
            </w:pPr>
            <w:r>
              <w:rPr>
                <w:rFonts w:ascii="Arial" w:cs="Arial" w:eastAsia="Arial" w:hAnsi="Arial"/>
                <w:b/>
                <w:bCs/>
                <w:color w:val="B7950B"/>
                <w:sz w:val="21"/>
                <w:szCs w:val="21"/>
              </w:rPr>
              <w:t xml:space="preserve">Eartigo's Core Mission in Security</w:t>
            </w:r>
          </w:p>
          <w:p>
            <w:pPr>
              <w:spacing w:after="40" w:before="40"/>
            </w:pPr>
            <w:r>
              <w:rPr>
                <w:rFonts w:ascii="Arial" w:cs="Arial" w:eastAsia="Arial" w:hAnsi="Arial"/>
                <w:color w:val="1A1A2E"/>
                <w:sz w:val="19"/>
                <w:szCs w:val="19"/>
              </w:rPr>
              <w:t xml:space="preserve">Eartigo is not just a marketplace. It is a platform that Indian farmers trust with their land data, income data, and their farm's digital identity. A security failure here is not just a technical problem — it is a failure of trust that can directly affect a farmer's livelihood, land rights, and financial security.</w:t>
            </w:r>
          </w:p>
          <w:p>
            <w:pPr>
              <w:spacing w:after="40" w:before="40"/>
            </w:pPr>
            <w:r>
              <w:rPr>
                <w:rFonts w:ascii="Arial" w:cs="Arial" w:eastAsia="Arial" w:hAnsi="Arial"/>
                <w:color w:val="1A1A2E"/>
                <w:sz w:val="19"/>
                <w:szCs w:val="19"/>
              </w:rPr>
              <w:t xml:space="preserve">The team's mindset should be: protect the farmer first, collect only what is necessary, give access only to the right person, treat farm data with the same sensitivity as financial data, keep evidence of consent, and make sure every sensitive action is secure, logged, and explainable.</w:t>
            </w:r>
          </w:p>
          <w:p>
            <w:pPr>
              <w:spacing w:after="40" w:before="40"/>
            </w:pPr>
            <w:r>
              <w:rPr>
                <w:rFonts w:ascii="Arial" w:cs="Arial" w:eastAsia="Arial" w:hAnsi="Arial"/>
                <w:color w:val="1A1A2E"/>
                <w:sz w:val="19"/>
                <w:szCs w:val="19"/>
              </w:rPr>
              <w:t xml:space="preserve">This approach will help Eartigo build a secure, compliant, and farmer-trusted AgriTech platform.</w:t>
            </w:r>
          </w:p>
        </w:tc>
      </w:tr>
    </w:tbl>
    <w:p>
      <w:r>
        <w:t xml:space="preserve"/>
      </w:r>
    </w:p>
    <w:p>
      <w:pPr>
        <w:spacing w:after="60" w:before="60"/>
        <w:jc w:val="left"/>
      </w:pPr>
      <w:r>
        <w:rPr>
          <w:rFonts w:ascii="Arial" w:cs="Arial" w:eastAsia="Arial" w:hAnsi="Arial"/>
          <w:color w:val="1A1A2E"/>
          <w:sz w:val="20"/>
          <w:szCs w:val="20"/>
        </w:rPr>
        <w:t xml:space="preserve">Every part produced in this engagement is, in effect, a worked example of that mindset applied to one specific area: Part A applied it to knowing what data exists; Part C applied it to who can touch that data; Part F applied it to how a document or photo physically moves through the system; Part J applied it to what an algorithm is allowed to say to a farmer. None of these parts is complete in isolation — Part M exists specifically to make sure they are applied together, every time, on every future change.</w:t>
      </w:r>
    </w:p>
    <w:p>
      <w:r>
        <w:t xml:space="preserve"/>
      </w:r>
    </w:p>
    <w:p>
      <w:r>
        <w:t xml:space="preserve"/>
      </w:r>
    </w:p>
    <w:p>
      <w:pPr>
        <w:pStyle w:val="Heading1"/>
        <w:spacing w:after="140" w:before="320"/>
      </w:pPr>
      <w:r>
        <w:rPr>
          <w:rFonts w:ascii="Arial" w:cs="Arial" w:eastAsia="Arial" w:hAnsi="Arial"/>
          <w:b/>
          <w:bCs/>
          <w:color w:val="1B4332"/>
          <w:sz w:val="32"/>
          <w:szCs w:val="32"/>
        </w:rPr>
        <w:t xml:space="preserve">7. Conclusion</w:t>
      </w:r>
    </w:p>
    <w:p>
      <w:pPr>
        <w:pBdr>
          <w:bottom w:val="single" w:color="52B788" w:sz="6" w:space="1"/>
        </w:pBdr>
        <w:spacing w:after="60" w:before="60"/>
      </w:pPr>
      <w:r>
        <w:t xml:space="preserve"/>
      </w:r>
    </w:p>
    <w:p>
      <w:r>
        <w:t xml:space="preserve"/>
      </w:r>
    </w:p>
    <w:p>
      <w:pPr>
        <w:spacing w:after="60" w:before="60"/>
        <w:jc w:val="left"/>
      </w:pPr>
      <w:r>
        <w:rPr>
          <w:rFonts w:ascii="Arial" w:cs="Arial" w:eastAsia="Arial" w:hAnsi="Arial"/>
          <w:color w:val="1A1A2E"/>
          <w:sz w:val="20"/>
          <w:szCs w:val="20"/>
        </w:rPr>
        <w:t xml:space="preserve">This internship engagement has produced a complete, internally consistent body of cybersecurity and data protection work for Eartigo, spanning data classification, regulatory mapping, access control, API hardening, consent management, file handling, authentication, logging, breach response, AI safety, and the full suite of public-facing and internal compliance documents required to operate the platform lawfully in India.</w:t>
      </w:r>
    </w:p>
    <w:p>
      <w:pPr>
        <w:spacing w:after="60" w:before="60"/>
        <w:jc w:val="left"/>
      </w:pPr>
      <w:r>
        <w:rPr>
          <w:rFonts w:ascii="Arial" w:cs="Arial" w:eastAsia="Arial" w:hAnsi="Arial"/>
          <w:color w:val="1A1A2E"/>
          <w:sz w:val="20"/>
          <w:szCs w:val="20"/>
        </w:rPr>
        <w:t xml:space="preserve">The deliverables are designed for dual use, consistent with the brief that has run through this engagement from the outset: each can serve as a structured academic submission demonstrating systematic security analysis, and each is simultaneously a working reference the Eartigo development team can implement directly — the code samples are not illustrative pseudocode but runnable Node.js/Express/MongoDB patterns matched to Eartigo's actual stack.</w:t>
      </w:r>
    </w:p>
    <w:p>
      <w:pPr>
        <w:spacing w:after="60" w:before="60"/>
        <w:jc w:val="left"/>
      </w:pPr>
      <w:r>
        <w:rPr>
          <w:rFonts w:ascii="Arial" w:cs="Arial" w:eastAsia="Arial" w:hAnsi="Arial"/>
          <w:color w:val="1A1A2E"/>
          <w:sz w:val="20"/>
          <w:szCs w:val="20"/>
        </w:rPr>
        <w:t xml:space="preserve">The remaining work is the work that was always going to fall to Eartigo and its legal counsel rather than to this internship: filling in the entity-specific placeholders across the Part K documents, finalising vendor contracts and the Data Processing Agreements tracked in the Third-Party Processor List, and exercising the Part M checklist as a living discipline on every piece of code, every form, and every API endpoint that gets built from here forward.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
              <w:left w:val="single" w:color="1A5276" w:sz="14"/>
              <w:bottom w:val="single" w:color="1A5276" w:sz="1"/>
              <w:right w:val="single" w:color="1A5276" w:sz="1"/>
            </w:tcBorders>
            <w:shd w:fill="EBF5FB" w:val="clear"/>
            <w:tcMar>
              <w:top w:type="dxa" w:w="140"/>
              <w:left w:type="dxa" w:w="220"/>
              <w:bottom w:type="dxa" w:w="140"/>
              <w:right w:type="dxa" w:w="220"/>
            </w:tcMar>
          </w:tcPr>
          <w:p>
            <w:pPr>
              <w:spacing w:after="80"/>
            </w:pPr>
            <w:r>
              <w:rPr>
                <w:rFonts w:ascii="Arial" w:cs="Arial" w:eastAsia="Arial" w:hAnsi="Arial"/>
                <w:b/>
                <w:bCs/>
                <w:color w:val="1A5276"/>
                <w:sz w:val="21"/>
                <w:szCs w:val="21"/>
              </w:rPr>
              <w:t xml:space="preserve">Closing note:</w:t>
            </w:r>
          </w:p>
          <w:p>
            <w:pPr>
              <w:spacing w:after="40" w:before="40"/>
            </w:pPr>
            <w:r>
              <w:rPr>
                <w:rFonts w:ascii="Arial" w:cs="Arial" w:eastAsia="Arial" w:hAnsi="Arial"/>
                <w:color w:val="1A1A2E"/>
                <w:sz w:val="19"/>
                <w:szCs w:val="19"/>
              </w:rPr>
              <w:t xml:space="preserve">A guide is only as useful as the discipline applied to it after it is written. The most consequential outcome of this internship is not any single document in this package — it is Part M becoming a habit.</w:t>
            </w:r>
          </w:p>
        </w:tc>
      </w:tr>
    </w:tbl>
    <w:p>
      <w:r>
        <w:t xml:space="preserve"/>
      </w:r>
    </w:p>
    <w:p>
      <w:r>
        <w:t xml:space="preserve"/>
      </w:r>
    </w:p>
    <w:p>
      <w:pPr>
        <w:pBdr>
          <w:bottom w:val="single" w:color="52B788" w:sz="6" w:space="1"/>
        </w:pBdr>
        <w:spacing w:after="60" w:before="60"/>
      </w:pPr>
      <w:r>
        <w:t xml:space="preserve"/>
      </w:r>
    </w:p>
    <w:p>
      <w:pPr>
        <w:spacing w:after="80" w:before="160"/>
        <w:jc w:val="center"/>
      </w:pPr>
      <w:r>
        <w:rPr>
          <w:rFonts w:ascii="Arial" w:cs="Arial" w:eastAsia="Arial" w:hAnsi="Arial"/>
          <w:b/>
          <w:bCs/>
          <w:color w:val="2D6A4F"/>
          <w:sz w:val="22"/>
          <w:szCs w:val="22"/>
        </w:rPr>
        <w:t xml:space="preserve">END OF FINAL REPORT</w:t>
      </w:r>
    </w:p>
    <w:p>
      <w:pPr>
        <w:spacing w:after="40" w:before="40"/>
        <w:jc w:val="center"/>
      </w:pPr>
      <w:r>
        <w:rPr>
          <w:rFonts w:ascii="Arial" w:cs="Arial" w:eastAsia="Arial" w:hAnsi="Arial"/>
          <w:i/>
          <w:iCs/>
          <w:color w:val="888888"/>
          <w:sz w:val="18"/>
          <w:szCs w:val="18"/>
        </w:rPr>
        <w:t xml:space="preserve">Eartigo AgriTech Platform  |  CONFIDENTIAL — For Internal Internship Team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B788" w:sz="4" w:space="1"/>
      </w:pBdr>
      <w:jc w:val="center"/>
    </w:pPr>
    <w:r>
      <w:rPr>
        <w:rFonts w:ascii="Arial" w:cs="Arial" w:eastAsia="Arial" w:hAnsi="Arial"/>
        <w:color w:val="666666"/>
        <w:sz w:val="16"/>
        <w:szCs w:val="16"/>
      </w:rPr>
      <w:t xml:space="preserve">Eartigo AgriTech Platform  |  CONFIDENTIAL — INTERNAL USE ONLY  |  Page </w:t>
    </w:r>
    <w:r>
      <w:rPr>
        <w:rFonts w:ascii="Arial" w:cs="Arial" w:eastAsia="Arial" w:hAnsi="Arial"/>
        <w:color w:val="2D6A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332" w:sz="6" w:space="1"/>
      </w:pBdr>
      <w:jc w:val="right"/>
    </w:pPr>
    <w:r>
      <w:rPr>
        <w:rFonts w:ascii="Arial" w:cs="Arial" w:eastAsia="Arial" w:hAnsi="Arial"/>
        <w:b/>
        <w:bCs/>
        <w:color w:val="2D6A4F"/>
        <w:sz w:val="15"/>
        <w:szCs w:val="15"/>
      </w:rPr>
      <w:t xml:space="preserve">EARTIGO — CYBERSECURITY &amp; DATA PROTECTION INTERNSHIP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4332"/>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D6A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2026-06-16T10:35:44.975Z</dcterms:created>
  <dcterms:modified xsi:type="dcterms:W3CDTF">2026-06-16T10:35:44.987Z</dcterms:modified>
</cp:coreProperties>
</file>

<file path=docProps/custom.xml><?xml version="1.0" encoding="utf-8"?>
<Properties xmlns="http://schemas.openxmlformats.org/officeDocument/2006/custom-properties" xmlns:vt="http://schemas.openxmlformats.org/officeDocument/2006/docPropsVTypes"/>
</file>