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4332"/>
          <w:sz w:val="52"/>
          <w:szCs w:val="52"/>
        </w:rPr>
        <w:t xml:space="preserve">EARTIGO AGRITECH PLATFORM</w:t>
      </w:r>
    </w:p>
    <w:p>
      <w:pPr>
        <w:spacing w:after="80" w:before="0"/>
        <w:jc w:val="center"/>
      </w:pPr>
      <w:r>
        <w:rPr>
          <w:rFonts w:ascii="Arial" w:cs="Arial" w:eastAsia="Arial" w:hAnsi="Arial"/>
          <w:i/>
          <w:iCs/>
          <w:color w:val="52B788"/>
          <w:sz w:val="26"/>
          <w:szCs w:val="26"/>
        </w:rPr>
        <w:t xml:space="preserve">fresh.eartigo.com</w:t>
      </w:r>
    </w:p>
    <w:p>
      <w:pPr>
        <w:pBdr>
          <w:bottom w:val="single" w:color="52B788" w:sz="6" w:space="1"/>
        </w:pBdr>
        <w:spacing w:after="60" w:before="60"/>
      </w:pPr>
      <w:r>
        <w:t xml:space="preserve"/>
      </w:r>
    </w:p>
    <w:p>
      <w:pPr>
        <w:spacing w:after="80" w:before="120"/>
        <w:jc w:val="center"/>
      </w:pPr>
      <w:r>
        <w:rPr>
          <w:rFonts w:ascii="Arial" w:cs="Arial" w:eastAsia="Arial" w:hAnsi="Arial"/>
          <w:b/>
          <w:bCs/>
          <w:color w:val="2D6A4F"/>
          <w:sz w:val="30"/>
          <w:szCs w:val="30"/>
        </w:rPr>
        <w:t xml:space="preserve">CYBERSECURITY &amp; DATA PROTECTION INTERNSHIP</w:t>
      </w:r>
    </w:p>
    <w:p>
      <w:pPr>
        <w:spacing w:after="40" w:before="40"/>
        <w:jc w:val="center"/>
      </w:pPr>
      <w:r>
        <w:rPr>
          <w:rFonts w:ascii="Arial" w:cs="Arial" w:eastAsia="Arial" w:hAnsi="Arial"/>
          <w:b/>
          <w:bCs/>
          <w:color w:val="1A1A2E"/>
          <w:sz w:val="28"/>
          <w:szCs w:val="28"/>
        </w:rPr>
        <w:t xml:space="preserve">Part M — Daily Security Checklist</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tcPr>
          <w:p>
            <w:r>
              <w:rPr>
                <w:rFonts w:ascii="Arial" w:cs="Arial" w:eastAsia="Arial" w:hAnsi="Arial"/>
                <w:b/>
                <w:bCs/>
                <w:color w:val="FFFFFF"/>
                <w:sz w:val="18"/>
                <w:szCs w:val="18"/>
              </w:rPr>
              <w:t xml:space="preserve">Document Status</w:t>
            </w:r>
          </w:p>
        </w:tc>
        <w:tc>
          <w:tcPr>
            <w:tcW w:type="dxa" w:w="36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tcPr>
          <w:p>
            <w:r>
              <w:rPr>
                <w:rFonts w:ascii="Arial" w:cs="Arial" w:eastAsia="Arial" w:hAnsi="Arial"/>
                <w:color w:val="FFFFFF"/>
                <w:sz w:val="18"/>
                <w:szCs w:val="18"/>
              </w:rPr>
              <w:t xml:space="preserve">CONFIDENTIAL — INTERNAL USE ONLY</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Eartigo (fresh.eartigo.com)</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Prepared For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Incoming Cybersecurity Internship Team</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Purpose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Quick-reference checklist for every code review, form review, or API review</w:t>
            </w:r>
          </w:p>
        </w:tc>
      </w:tr>
      <w:tr>
        <w:tc>
          <w:tcPr>
            <w:tcW w:type="dxa" w:w="36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Document Part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Part M — Daily Security Checklist</w:t>
            </w:r>
          </w:p>
        </w:tc>
      </w:tr>
    </w:tbl>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Introduction</w:t>
      </w:r>
    </w:p>
    <w:p>
      <w:pPr>
        <w:pBdr>
          <w:bottom w:val="single" w:color="52B788" w:sz="6" w:space="1"/>
        </w:pBdr>
        <w:spacing w:after="60" w:before="60"/>
      </w:pPr>
      <w:r>
        <w:t xml:space="preserve"/>
      </w:r>
    </w:p>
    <w:p>
      <w:r>
        <w:t xml:space="preserve"/>
      </w:r>
    </w:p>
    <w:p>
      <w:pPr>
        <w:spacing w:after="60" w:before="60"/>
      </w:pPr>
      <w:r>
        <w:rPr>
          <w:rFonts w:ascii="Arial" w:cs="Arial" w:eastAsia="Arial" w:hAnsi="Arial"/>
          <w:color w:val="1A1A2E"/>
          <w:sz w:val="20"/>
          <w:szCs w:val="20"/>
        </w:rPr>
        <w:t xml:space="preserve">Parts A through L of this guide cover Eartigo's security architecture in depth — data inventory, DPDP Act concepts, access control, API security, consent and notice review, file upload security, password/OTP/session security, logging and monitoring, breach readiness, AI safety, and the full set of privacy and compliance documents.</w:t>
      </w:r>
    </w:p>
    <w:p>
      <w:r>
        <w:t xml:space="preserve"/>
      </w:r>
    </w:p>
    <w:p>
      <w:pPr>
        <w:spacing w:after="60" w:before="60"/>
      </w:pPr>
      <w:r>
        <w:rPr>
          <w:rFonts w:ascii="Arial" w:cs="Arial" w:eastAsia="Arial" w:hAnsi="Arial"/>
          <w:color w:val="1A1A2E"/>
          <w:sz w:val="20"/>
          <w:szCs w:val="20"/>
        </w:rPr>
        <w:t xml:space="preserve">Part M condenses all of that into twelve questions the team should ask during every code review, form review, or API review. None of these questions introduce new requirements — each one is a pointer back to a specific control already defined elsewhere in this guide. The answer to each question below explains what to check for and exactly where in the guide the full requirement, implementation, and rationale can be found.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20"/>
              <w:left w:type="dxa" w:w="200"/>
              <w:bottom w:type="dxa" w:w="120"/>
              <w:right w:type="dxa" w:w="200"/>
            </w:tcMar>
          </w:tcPr>
          <w:p>
            <w:r>
              <w:rPr>
                <w:rFonts w:ascii="Arial" w:cs="Arial" w:eastAsia="Arial" w:hAnsi="Arial"/>
                <w:b/>
                <w:bCs/>
                <w:color w:val="1A5276"/>
                <w:sz w:val="19"/>
                <w:szCs w:val="19"/>
              </w:rPr>
              <w:t xml:space="preserve">How to use this document:  </w:t>
            </w:r>
            <w:r>
              <w:rPr>
                <w:rFonts w:ascii="Arial" w:cs="Arial" w:eastAsia="Arial" w:hAnsi="Arial"/>
                <w:color w:val="1A1A2E"/>
                <w:sz w:val="19"/>
                <w:szCs w:val="19"/>
              </w:rPr>
              <w:t xml:space="preserve">Treat this as a pre-merge / pre-review gate. If the answer to any question is unclear for a given piece of work, do not approve the review — go back to the referenced Part and resolve the gap first.</w:t>
            </w:r>
          </w:p>
        </w:tc>
      </w:tr>
    </w:tbl>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Q1</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this data necessary? (data minimisation)</w:t>
            </w:r>
          </w:p>
        </w:tc>
      </w:tr>
    </w:tbl>
    <w:p>
      <w:r>
        <w:t xml:space="preserve"/>
      </w:r>
    </w:p>
    <w:p>
      <w:pPr>
        <w:spacing w:after="60" w:before="60"/>
      </w:pPr>
      <w:r>
        <w:rPr>
          <w:rFonts w:ascii="Arial" w:cs="Arial" w:eastAsia="Arial" w:hAnsi="Arial"/>
          <w:color w:val="1A1A2E"/>
          <w:sz w:val="20"/>
          <w:szCs w:val="20"/>
        </w:rPr>
        <w:t xml:space="preserve">Check this against the Data Inventory in Part A before adding any new field to a form, database collection, or API response. Every data point Eartigo collects is mapped in Part A against a specific purpose, a sensitivity rating, and a retention period. If the field you are about to add is not already in that inventory, it should not be collected until it has been added there with a stated purpose — adding fields ad hoc during development is exactly the kind of scope creep the inventory is meant to prevent.</w:t>
      </w:r>
    </w:p>
    <w:p>
      <w:pPr>
        <w:spacing w:after="60" w:before="60"/>
      </w:pPr>
      <w:r>
        <w:rPr>
          <w:rFonts w:ascii="Arial" w:cs="Arial" w:eastAsia="Arial" w:hAnsi="Arial"/>
          <w:color w:val="1A1A2E"/>
          <w:sz w:val="20"/>
          <w:szCs w:val="20"/>
        </w:rPr>
        <w:t xml:space="preserve">For farm intelligence data specifically, Part J's AI Data Protection Checklist adds a further minimisation rule: AI requests should use farm_ref identifiers rather than farmer names or Aadhaar references, and GPS coordinates should be reduced to grid cells or imagery tile references rather than full-precision boundaries wherever the task allows it.</w:t>
      </w:r>
    </w:p>
    <w:p>
      <w:pPr>
        <w:pStyle w:val="ListParagraph"/>
        <w:numPr>
          <w:ilvl w:val="0"/>
          <w:numId w:val="2"/>
        </w:numPr>
        <w:spacing w:after="30" w:before="30"/>
      </w:pPr>
      <w:r>
        <w:rPr>
          <w:rFonts w:ascii="Arial" w:cs="Arial" w:eastAsia="Arial" w:hAnsi="Arial"/>
          <w:color w:val="1A1A2E"/>
          <w:sz w:val="19"/>
          <w:szCs w:val="19"/>
        </w:rPr>
        <w:t xml:space="preserve">Reference: Part A — Data Inventory Goals ("What data is collected? Why is it collected?")</w:t>
      </w:r>
    </w:p>
    <w:p>
      <w:pPr>
        <w:pStyle w:val="ListParagraph"/>
        <w:numPr>
          <w:ilvl w:val="0"/>
          <w:numId w:val="2"/>
        </w:numPr>
        <w:spacing w:after="30" w:before="30"/>
      </w:pPr>
      <w:r>
        <w:rPr>
          <w:rFonts w:ascii="Arial" w:cs="Arial" w:eastAsia="Arial" w:hAnsi="Arial"/>
          <w:color w:val="1A1A2E"/>
          <w:sz w:val="19"/>
          <w:szCs w:val="19"/>
        </w:rPr>
        <w:t xml:space="preserve">Reference: Part J — AI Data Protection Checklist, "Farmer personal data sent to AI API" and "GPS coordinates in AI requests"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Q2</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consent captured for this specific purpose?</w:t>
            </w:r>
          </w:p>
        </w:tc>
      </w:tr>
    </w:tbl>
    <w:p>
      <w:r>
        <w:t xml:space="preserve"/>
      </w:r>
    </w:p>
    <w:p>
      <w:pPr>
        <w:spacing w:after="60" w:before="60"/>
      </w:pPr>
      <w:r>
        <w:rPr>
          <w:rFonts w:ascii="Arial" w:cs="Arial" w:eastAsia="Arial" w:hAnsi="Arial"/>
          <w:color w:val="1A1A2E"/>
          <w:sz w:val="20"/>
          <w:szCs w:val="20"/>
        </w:rPr>
        <w:t xml:space="preserve">Check this against Part E (Consent &amp; Notice Review) and the Consent Policy &amp; Notice from Part K. Consent on Eartigo is granular and purpose-bound — a general "I agree to the Terms" checkbox does not cover KYC, bank linkage, GPS digital twin creation, drone imagery, AI analysis, or marketing communications. Each of those has its own standalone consent notice, listed in Part E's Forms Review Checklist.</w:t>
      </w:r>
    </w:p>
    <w:p>
      <w:pPr>
        <w:spacing w:after="60" w:before="60"/>
      </w:pPr>
      <w:r>
        <w:rPr>
          <w:rFonts w:ascii="Arial" w:cs="Arial" w:eastAsia="Arial" w:hAnsi="Arial"/>
          <w:color w:val="1A1A2E"/>
          <w:sz w:val="20"/>
          <w:szCs w:val="20"/>
        </w:rPr>
        <w:t xml:space="preserve">Before merging any feature that reads or writes a new category of personal or farm data, confirm: (a) a consent notice exists for that specific purpose, (b) the checkbox is not pre-ticked, and (c) a record is written to the append-only consent_logs collection (schema given in Part E, Section "Consent Record Storage") before the underlying action is processed — not after.</w:t>
      </w:r>
    </w:p>
    <w:p>
      <w:pPr>
        <w:pStyle w:val="ListParagraph"/>
        <w:numPr>
          <w:ilvl w:val="0"/>
          <w:numId w:val="2"/>
        </w:numPr>
        <w:spacing w:after="30" w:before="30"/>
      </w:pPr>
      <w:r>
        <w:rPr>
          <w:rFonts w:ascii="Arial" w:cs="Arial" w:eastAsia="Arial" w:hAnsi="Arial"/>
          <w:color w:val="1A1A2E"/>
          <w:sz w:val="19"/>
          <w:szCs w:val="19"/>
        </w:rPr>
        <w:t xml:space="preserve">Reference: Part E — Forms Review Checklist and Consent Notice Design Rules</w:t>
      </w:r>
    </w:p>
    <w:p>
      <w:pPr>
        <w:pStyle w:val="ListParagraph"/>
        <w:numPr>
          <w:ilvl w:val="0"/>
          <w:numId w:val="2"/>
        </w:numPr>
        <w:spacing w:after="30" w:before="30"/>
      </w:pPr>
      <w:r>
        <w:rPr>
          <w:rFonts w:ascii="Arial" w:cs="Arial" w:eastAsia="Arial" w:hAnsi="Arial"/>
          <w:color w:val="1A1A2E"/>
          <w:sz w:val="19"/>
          <w:szCs w:val="19"/>
        </w:rPr>
        <w:t xml:space="preserve">Reference: Part K — Consent Policy &amp; Notice (Section 3, "Forms and Consents on the Platform")</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Q3</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Aadhaar, bank account, or payment card data involved?</w:t>
            </w:r>
          </w:p>
        </w:tc>
      </w:tr>
    </w:tbl>
    <w:p>
      <w:r>
        <w:t xml:space="preserve"/>
      </w:r>
    </w:p>
    <w:p>
      <w:pPr>
        <w:spacing w:after="60" w:before="60"/>
      </w:pPr>
      <w:r>
        <w:rPr>
          <w:rFonts w:ascii="Arial" w:cs="Arial" w:eastAsia="Arial" w:hAnsi="Arial"/>
          <w:color w:val="1A1A2E"/>
          <w:sz w:val="20"/>
          <w:szCs w:val="20"/>
        </w:rPr>
        <w:t xml:space="preserve">If yes, the data must never be stored or logged in raw form. Per Part A and Part D: Eartigo stores only a masked Aadhaar reference plus a verification flag (full Aadhaar verification happens exclusively through the licensed KYC intermediary); bank account numbers are tokenised through the RBI-licensed Payment Aggregator rather than stored in full; and card/CVV data must never reach Eartigo's servers at all — payment fields should post directly to the Payment Aggregator's hosted fields or SDK.</w:t>
      </w:r>
    </w:p>
    <w:p>
      <w:pPr>
        <w:spacing w:after="60" w:before="60"/>
      </w:pPr>
      <w:r>
        <w:rPr>
          <w:rFonts w:ascii="Arial" w:cs="Arial" w:eastAsia="Arial" w:hAnsi="Arial"/>
          <w:color w:val="1A1A2E"/>
          <w:sz w:val="20"/>
          <w:szCs w:val="20"/>
        </w:rPr>
        <w:t xml:space="preserve">Part D's "Sensitive Fields — What NOT to Store" table is the authoritative checklist here, and Part H's "What Must NEVER Be Logged" table extends the same rule to logs: a field that is correctly encrypted in the database but then appears in plaintext in an error log or stack trace is still a violation.</w:t>
      </w:r>
    </w:p>
    <w:p>
      <w:pPr>
        <w:pStyle w:val="ListParagraph"/>
        <w:numPr>
          <w:ilvl w:val="0"/>
          <w:numId w:val="2"/>
        </w:numPr>
        <w:spacing w:after="30" w:before="30"/>
      </w:pPr>
      <w:r>
        <w:rPr>
          <w:rFonts w:ascii="Arial" w:cs="Arial" w:eastAsia="Arial" w:hAnsi="Arial"/>
          <w:color w:val="1A1A2E"/>
          <w:sz w:val="19"/>
          <w:szCs w:val="19"/>
        </w:rPr>
        <w:t xml:space="preserve">Reference: Part D — Sensitive Fields table, AES-256-GCM field encryption example</w:t>
      </w:r>
    </w:p>
    <w:p>
      <w:pPr>
        <w:pStyle w:val="ListParagraph"/>
        <w:numPr>
          <w:ilvl w:val="0"/>
          <w:numId w:val="2"/>
        </w:numPr>
        <w:spacing w:after="30" w:before="30"/>
      </w:pPr>
      <w:r>
        <w:rPr>
          <w:rFonts w:ascii="Arial" w:cs="Arial" w:eastAsia="Arial" w:hAnsi="Arial"/>
          <w:color w:val="1A1A2E"/>
          <w:sz w:val="19"/>
          <w:szCs w:val="19"/>
        </w:rPr>
        <w:t xml:space="preserve">Reference: Part H — "What Must NEVER Be Logged" (Aadhaar, full bank account/IFSC, card CVV)</w:t>
      </w:r>
    </w:p>
    <w:p>
      <w:pPr>
        <w:pStyle w:val="ListParagraph"/>
        <w:numPr>
          <w:ilvl w:val="0"/>
          <w:numId w:val="2"/>
        </w:numPr>
        <w:spacing w:after="30" w:before="30"/>
      </w:pPr>
      <w:r>
        <w:rPr>
          <w:rFonts w:ascii="Arial" w:cs="Arial" w:eastAsia="Arial" w:hAnsi="Arial"/>
          <w:color w:val="1A1A2E"/>
          <w:sz w:val="19"/>
          <w:szCs w:val="19"/>
        </w:rPr>
        <w:t xml:space="preserve">Reference: Part A — Aadhaar Warning callout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Q4</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GPS or satellite farm data involved?</w:t>
            </w:r>
          </w:p>
        </w:tc>
      </w:tr>
    </w:tbl>
    <w:p>
      <w:r>
        <w:t xml:space="preserve"/>
      </w:r>
    </w:p>
    <w:p>
      <w:pPr>
        <w:spacing w:after="60" w:before="60"/>
      </w:pPr>
      <w:r>
        <w:rPr>
          <w:rFonts w:ascii="Arial" w:cs="Arial" w:eastAsia="Arial" w:hAnsi="Arial"/>
          <w:color w:val="1A1A2E"/>
          <w:sz w:val="20"/>
          <w:szCs w:val="20"/>
        </w:rPr>
        <w:t xml:space="preserve">If yes, treat it with the same sensitivity as financial data — this is explicitly called out in Part A ("Farm Data Sensitivity") and reinforced in Part J's "Drone &amp; Satellite Data Ethics" callout. Confirm: GPS boundary polygons are encrypted at rest and never exposed in a public or list-view API response; satellite/drone imagery sits in a private S3 bucket accessed only via short-lived pre-signed URLs (Part F); and the data is not being routed toward insurance, banking, land valuation, or credit-scoring use cases without a separate, purpose-specific consent (Part E, Part J's purpose gate).</w:t>
      </w:r>
    </w:p>
    <w:p>
      <w:pPr>
        <w:spacing w:after="60" w:before="60"/>
      </w:pPr>
      <w:r>
        <w:rPr>
          <w:rFonts w:ascii="Arial" w:cs="Arial" w:eastAsia="Arial" w:hAnsi="Arial"/>
          <w:color w:val="1A1A2E"/>
          <w:sz w:val="20"/>
          <w:szCs w:val="20"/>
        </w:rPr>
        <w:t xml:space="preserve">If the change involves sending farm data to an AI model or third-party API, also re-check Q1 — the data minimisation rules for farm_ref and grid-cell GPS apply specifically here.</w:t>
      </w:r>
    </w:p>
    <w:p>
      <w:pPr>
        <w:pStyle w:val="ListParagraph"/>
        <w:numPr>
          <w:ilvl w:val="0"/>
          <w:numId w:val="2"/>
        </w:numPr>
        <w:spacing w:after="30" w:before="30"/>
      </w:pPr>
      <w:r>
        <w:rPr>
          <w:rFonts w:ascii="Arial" w:cs="Arial" w:eastAsia="Arial" w:hAnsi="Arial"/>
          <w:color w:val="1A1A2E"/>
          <w:sz w:val="19"/>
          <w:szCs w:val="19"/>
        </w:rPr>
        <w:t xml:space="preserve">Reference: Part A — Category 2 Inventory (Farm Intelligence Data) and Farm Data Sensitivity callout</w:t>
      </w:r>
    </w:p>
    <w:p>
      <w:pPr>
        <w:pStyle w:val="ListParagraph"/>
        <w:numPr>
          <w:ilvl w:val="0"/>
          <w:numId w:val="2"/>
        </w:numPr>
        <w:spacing w:after="30" w:before="30"/>
      </w:pPr>
      <w:r>
        <w:rPr>
          <w:rFonts w:ascii="Arial" w:cs="Arial" w:eastAsia="Arial" w:hAnsi="Arial"/>
          <w:color w:val="1A1A2E"/>
          <w:sz w:val="19"/>
          <w:szCs w:val="19"/>
        </w:rPr>
        <w:t xml:space="preserve">Reference: Part J — Drone &amp; Satellite Data Ethics, purpose-gated data access (requirePurposeConsent)</w:t>
      </w:r>
    </w:p>
    <w:p>
      <w:pPr>
        <w:pStyle w:val="ListParagraph"/>
        <w:numPr>
          <w:ilvl w:val="0"/>
          <w:numId w:val="2"/>
        </w:numPr>
        <w:spacing w:after="30" w:before="30"/>
      </w:pPr>
      <w:r>
        <w:rPr>
          <w:rFonts w:ascii="Arial" w:cs="Arial" w:eastAsia="Arial" w:hAnsi="Arial"/>
          <w:color w:val="1A1A2E"/>
          <w:sz w:val="19"/>
          <w:szCs w:val="19"/>
        </w:rPr>
        <w:t xml:space="preserve">Reference: Part F — Secure File Path Structure for drone/satellite imagery storage</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Q5</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the API protected with auth + role + ownership checks?</w:t>
            </w:r>
          </w:p>
        </w:tc>
      </w:tr>
    </w:tbl>
    <w:p>
      <w:r>
        <w:t xml:space="preserve"/>
      </w:r>
    </w:p>
    <w:p>
      <w:pPr>
        <w:spacing w:after="60" w:before="60"/>
      </w:pPr>
      <w:r>
        <w:rPr>
          <w:rFonts w:ascii="Arial" w:cs="Arial" w:eastAsia="Arial" w:hAnsi="Arial"/>
          <w:color w:val="1A1A2E"/>
          <w:sz w:val="20"/>
          <w:szCs w:val="20"/>
        </w:rPr>
        <w:t xml:space="preserve">All three layers are required, not just one. Part C and Part D both stress that role checks without ownership checks allow horizontal privilege escalation (one farmer reading another farmer's data), while ownership checks without role checks allow privilege escalation in the other direction (a farmer calling an admin-only operation on their own record).</w:t>
      </w:r>
    </w:p>
    <w:p>
      <w:pPr>
        <w:spacing w:after="60" w:before="60"/>
      </w:pPr>
      <w:r>
        <w:rPr>
          <w:rFonts w:ascii="Arial" w:cs="Arial" w:eastAsia="Arial" w:hAnsi="Arial"/>
          <w:color w:val="1A1A2E"/>
          <w:sz w:val="20"/>
          <w:szCs w:val="20"/>
        </w:rPr>
        <w:t xml:space="preserve">The three-step middleware pattern to look for on every protected route is: authenticate (valid, non-blocklisted JWT), requireRole (the route's RBAC matrix entry from Part C is satisfied), and an ownership guard such as ownFarmOnly, ownProfileOnly, or assignedFarmOnly (Part C, Part D) confirming the specific record belongs to the requesting user. If any one of the three is missing from a new route, it should not be merged.</w:t>
      </w:r>
    </w:p>
    <w:p>
      <w:pPr>
        <w:pStyle w:val="ListParagraph"/>
        <w:numPr>
          <w:ilvl w:val="0"/>
          <w:numId w:val="2"/>
        </w:numPr>
        <w:spacing w:after="30" w:before="30"/>
      </w:pPr>
      <w:r>
        <w:rPr>
          <w:rFonts w:ascii="Arial" w:cs="Arial" w:eastAsia="Arial" w:hAnsi="Arial"/>
          <w:color w:val="1A1A2E"/>
          <w:sz w:val="19"/>
          <w:szCs w:val="19"/>
        </w:rPr>
        <w:t xml:space="preserve">Reference: Part C — RBAC Matrix, IDOR Prevention middleware (ownFarmOnly, ownProfileOnly, assignedFarmOnly)</w:t>
      </w:r>
    </w:p>
    <w:p>
      <w:pPr>
        <w:pStyle w:val="ListParagraph"/>
        <w:numPr>
          <w:ilvl w:val="0"/>
          <w:numId w:val="2"/>
        </w:numPr>
        <w:spacing w:after="30" w:before="30"/>
      </w:pPr>
      <w:r>
        <w:rPr>
          <w:rFonts w:ascii="Arial" w:cs="Arial" w:eastAsia="Arial" w:hAnsi="Arial"/>
          <w:color w:val="1A1A2E"/>
          <w:sz w:val="19"/>
          <w:szCs w:val="19"/>
        </w:rPr>
        <w:t xml:space="preserve">Reference: Part D — "Secure Farm Boundary Access" BAD vs GOOD example, four-layer check (auth, role, tenant ownership, record ownership)</w:t>
      </w:r>
    </w:p>
    <w:p>
      <w:pPr>
        <w:pStyle w:val="ListParagraph"/>
        <w:numPr>
          <w:ilvl w:val="0"/>
          <w:numId w:val="2"/>
        </w:numPr>
        <w:spacing w:after="30" w:before="30"/>
      </w:pPr>
      <w:r>
        <w:rPr>
          <w:rFonts w:ascii="Arial" w:cs="Arial" w:eastAsia="Arial" w:hAnsi="Arial"/>
          <w:color w:val="1A1A2E"/>
          <w:sz w:val="19"/>
          <w:szCs w:val="19"/>
        </w:rPr>
        <w:t xml:space="preserve">Reference: Part C — Access Control Testing Tasks (the 12 test scenarios)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Q6</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the file upload validated (MIME, extension, size, private storage)?</w:t>
            </w:r>
          </w:p>
        </w:tc>
      </w:tr>
    </w:tbl>
    <w:p>
      <w:r>
        <w:t xml:space="preserve"/>
      </w:r>
    </w:p>
    <w:p>
      <w:pPr>
        <w:spacing w:after="60" w:before="60"/>
      </w:pPr>
      <w:r>
        <w:rPr>
          <w:rFonts w:ascii="Arial" w:cs="Arial" w:eastAsia="Arial" w:hAnsi="Arial"/>
          <w:color w:val="1A1A2E"/>
          <w:sz w:val="20"/>
          <w:szCs w:val="20"/>
        </w:rPr>
        <w:t xml:space="preserve">Check this against Part F in full. Extension checks alone are not acceptable — magic bytes validation must run on the actual file buffer after upload, using multer's memoryStorage() so nothing touches disk before validation. Executable extensions (.exe, .js, .sh, .php, etc.) must be blocked at both the extension and magic-bytes level. File size limits must be enforced in the multer config before the handler runs, and EXIF metadata (which can carry GPS coordinates from a farmer's phone camera) must be stripped from images before they are stored.</w:t>
      </w:r>
    </w:p>
    <w:p>
      <w:pPr>
        <w:spacing w:after="60" w:before="60"/>
      </w:pPr>
      <w:r>
        <w:rPr>
          <w:rFonts w:ascii="Arial" w:cs="Arial" w:eastAsia="Arial" w:hAnsi="Arial"/>
          <w:color w:val="1A1A2E"/>
          <w:sz w:val="20"/>
          <w:szCs w:val="20"/>
        </w:rPr>
        <w:t xml:space="preserve">Storage location matters as much as validation: KYC documents, drone imagery, and soil reports belong in the private S3 bucket with Block Public Access enabled, behind a 15-minute pre-signed URL, using a UUID-based key — never the client's original filename. Product photos are the one category that can go to the public bucket, since they are meant to be publicly visible on a listing.</w:t>
      </w:r>
    </w:p>
    <w:p>
      <w:pPr>
        <w:pStyle w:val="ListParagraph"/>
        <w:numPr>
          <w:ilvl w:val="0"/>
          <w:numId w:val="2"/>
        </w:numPr>
        <w:spacing w:after="30" w:before="30"/>
      </w:pPr>
      <w:r>
        <w:rPr>
          <w:rFonts w:ascii="Arial" w:cs="Arial" w:eastAsia="Arial" w:hAnsi="Arial"/>
          <w:color w:val="1A1A2E"/>
          <w:sz w:val="19"/>
          <w:szCs w:val="19"/>
        </w:rPr>
        <w:t xml:space="preserve">Reference: Part F — Upload Security Controls table, Secure File Path Structure, magic bytes validator code</w:t>
      </w:r>
    </w:p>
    <w:p>
      <w:pPr>
        <w:pStyle w:val="ListParagraph"/>
        <w:numPr>
          <w:ilvl w:val="0"/>
          <w:numId w:val="2"/>
        </w:numPr>
        <w:spacing w:after="30" w:before="30"/>
      </w:pPr>
      <w:r>
        <w:rPr>
          <w:rFonts w:ascii="Arial" w:cs="Arial" w:eastAsia="Arial" w:hAnsi="Arial"/>
          <w:color w:val="1A1A2E"/>
          <w:sz w:val="19"/>
          <w:szCs w:val="19"/>
        </w:rPr>
        <w:t xml:space="preserve">Reference: Part F — S3 Bucket Policy (DenyPublicAccess, EnforceEncryptionAtRest)</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Q7</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sensitive data visible in logs?</w:t>
            </w:r>
          </w:p>
        </w:tc>
      </w:tr>
    </w:tbl>
    <w:p>
      <w:r>
        <w:t xml:space="preserve"/>
      </w:r>
    </w:p>
    <w:p>
      <w:pPr>
        <w:spacing w:after="60" w:before="60"/>
      </w:pPr>
      <w:r>
        <w:rPr>
          <w:rFonts w:ascii="Arial" w:cs="Arial" w:eastAsia="Arial" w:hAnsi="Arial"/>
          <w:color w:val="1A1A2E"/>
          <w:sz w:val="20"/>
          <w:szCs w:val="20"/>
        </w:rPr>
        <w:t xml:space="preserve">Check the change against Part H's "Never Log" table: plain text passwords or OTPs, full Aadhaar numbers, full bank account/IFSC, full JWT tokens, card CVV/number, raw GPS polygons, raw satellite/drone imagery bytes, and any health or counselling notes. The redaction has to happen at the point of log generation in application code — configuring a redact list on the logger (Part H's Pino config) is the primary defence, but the global error handler must also avoid passing the raw req.body into the logger, since stack traces and error dumps are the most common accidental leak path.</w:t>
      </w:r>
    </w:p>
    <w:p>
      <w:pPr>
        <w:spacing w:after="60" w:before="60"/>
      </w:pPr>
      <w:r>
        <w:rPr>
          <w:rFonts w:ascii="Arial" w:cs="Arial" w:eastAsia="Arial" w:hAnsi="Arial"/>
          <w:color w:val="1A1A2E"/>
          <w:sz w:val="20"/>
          <w:szCs w:val="20"/>
        </w:rPr>
        <w:t xml:space="preserve">This question applies equally to AI-related logging: Part J's prompt-log redaction utility strips farmer names and GPS coordinate patterns from any LLM prompt/completion pair before it is written to a log.</w:t>
      </w:r>
    </w:p>
    <w:p>
      <w:pPr>
        <w:pStyle w:val="ListParagraph"/>
        <w:numPr>
          <w:ilvl w:val="0"/>
          <w:numId w:val="2"/>
        </w:numPr>
        <w:spacing w:after="30" w:before="30"/>
      </w:pPr>
      <w:r>
        <w:rPr>
          <w:rFonts w:ascii="Arial" w:cs="Arial" w:eastAsia="Arial" w:hAnsi="Arial"/>
          <w:color w:val="1A1A2E"/>
          <w:sz w:val="19"/>
          <w:szCs w:val="19"/>
        </w:rPr>
        <w:t xml:space="preserve">Reference: Part H — "What Must NEVER Be Logged" table and structured logging implementation (Pino redact config)</w:t>
      </w:r>
    </w:p>
    <w:p>
      <w:pPr>
        <w:pStyle w:val="ListParagraph"/>
        <w:numPr>
          <w:ilvl w:val="0"/>
          <w:numId w:val="2"/>
        </w:numPr>
        <w:spacing w:after="30" w:before="30"/>
      </w:pPr>
      <w:r>
        <w:rPr>
          <w:rFonts w:ascii="Arial" w:cs="Arial" w:eastAsia="Arial" w:hAnsi="Arial"/>
          <w:color w:val="1A1A2E"/>
          <w:sz w:val="19"/>
          <w:szCs w:val="19"/>
        </w:rPr>
        <w:t xml:space="preserve">Reference: Part J — Prompt Log Redaction for LLM-Based Features</w:t>
      </w:r>
    </w:p>
    <w:p>
      <w:pPr>
        <w:pStyle w:val="ListParagraph"/>
        <w:numPr>
          <w:ilvl w:val="0"/>
          <w:numId w:val="2"/>
        </w:numPr>
        <w:spacing w:after="30" w:before="30"/>
      </w:pPr>
      <w:r>
        <w:rPr>
          <w:rFonts w:ascii="Arial" w:cs="Arial" w:eastAsia="Arial" w:hAnsi="Arial"/>
          <w:color w:val="1A1A2E"/>
          <w:sz w:val="19"/>
          <w:szCs w:val="19"/>
        </w:rPr>
        <w:t xml:space="preserve">Reference: Part D — PII masking in logs (Critical priority item)</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Q8</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data being shared with a third party? Is there a Data Processing Agreement?</w:t>
            </w:r>
          </w:p>
        </w:tc>
      </w:tr>
    </w:tbl>
    <w:p>
      <w:r>
        <w:t xml:space="preserve"/>
      </w:r>
    </w:p>
    <w:p>
      <w:pPr>
        <w:spacing w:after="60" w:before="60"/>
      </w:pPr>
      <w:r>
        <w:rPr>
          <w:rFonts w:ascii="Arial" w:cs="Arial" w:eastAsia="Arial" w:hAnsi="Arial"/>
          <w:color w:val="1A1A2E"/>
          <w:sz w:val="20"/>
          <w:szCs w:val="20"/>
        </w:rPr>
        <w:t xml:space="preserve">Any new integration — a satellite imagery vendor, drone operator, analytics tool, AI/ML API, logistics partner, SMS gateway, or payment processor — makes that vendor a Data Processor under the DPDP Act the moment it receives Eartigo data, per Part B. Before that integration goes live, check the Third-Party Processor List (Part K, Document 12): the vendor must be added to that register with a signed DPA covering data residency, sub-processor disclosure, retention, deletion on termination, and breach notification timelines, before it is given access to live data.</w:t>
      </w:r>
    </w:p>
    <w:p>
      <w:pPr>
        <w:spacing w:after="60" w:before="60"/>
      </w:pPr>
      <w:r>
        <w:rPr>
          <w:rFonts w:ascii="Arial" w:cs="Arial" w:eastAsia="Arial" w:hAnsi="Arial"/>
          <w:color w:val="1A1A2E"/>
          <w:sz w:val="20"/>
          <w:szCs w:val="20"/>
        </w:rPr>
        <w:t xml:space="preserve">For AI/ML vendors specifically, the DPA must also confirm the vendor will not use Eartigo farm data to train its own general-purpose models without separate consent — this is called out explicitly in Part K's processor entry template and in Part J's data minimisation guidance.</w:t>
      </w:r>
    </w:p>
    <w:p>
      <w:pPr>
        <w:pStyle w:val="ListParagraph"/>
        <w:numPr>
          <w:ilvl w:val="0"/>
          <w:numId w:val="2"/>
        </w:numPr>
        <w:spacing w:after="30" w:before="30"/>
      </w:pPr>
      <w:r>
        <w:rPr>
          <w:rFonts w:ascii="Arial" w:cs="Arial" w:eastAsia="Arial" w:hAnsi="Arial"/>
          <w:color w:val="1A1A2E"/>
          <w:sz w:val="19"/>
          <w:szCs w:val="19"/>
        </w:rPr>
        <w:t xml:space="preserve">Reference: Part B — Data Processors table and DPA requirements</w:t>
      </w:r>
    </w:p>
    <w:p>
      <w:pPr>
        <w:pStyle w:val="ListParagraph"/>
        <w:numPr>
          <w:ilvl w:val="0"/>
          <w:numId w:val="2"/>
        </w:numPr>
        <w:spacing w:after="30" w:before="30"/>
      </w:pPr>
      <w:r>
        <w:rPr>
          <w:rFonts w:ascii="Arial" w:cs="Arial" w:eastAsia="Arial" w:hAnsi="Arial"/>
          <w:color w:val="1A1A2E"/>
          <w:sz w:val="19"/>
          <w:szCs w:val="19"/>
        </w:rPr>
        <w:t xml:space="preserve">Reference: Part K — Third-Party Processor List (Document 12), entry template and review cadence</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Q9</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data crossing India's borders? (data localisation check)</w:t>
            </w:r>
          </w:p>
        </w:tc>
      </w:tr>
    </w:tbl>
    <w:p>
      <w:r>
        <w:t xml:space="preserve"/>
      </w:r>
    </w:p>
    <w:p>
      <w:pPr>
        <w:spacing w:after="60" w:before="60"/>
      </w:pPr>
      <w:r>
        <w:rPr>
          <w:rFonts w:ascii="Arial" w:cs="Arial" w:eastAsia="Arial" w:hAnsi="Arial"/>
          <w:color w:val="1A1A2E"/>
          <w:sz w:val="20"/>
          <w:szCs w:val="20"/>
        </w:rPr>
        <w:t xml:space="preserve">Check this against Part A's Data Localisation &amp; Cross-Border Transfer Check table and Part K's Privacy Policy Section 19. Payment transaction data and Aadhaar-linked KYC data must not leave India — this is a hard RBI / Aadhaar Act requirement, not a best practice. Farm GPS, drone imagery, and satellite imagery should also default to India-region storage (AWS ap-south-1 or equivalent) given the commercial sensitivity established in Part A.</w:t>
      </w:r>
    </w:p>
    <w:p>
      <w:pPr>
        <w:spacing w:after="60" w:before="60"/>
      </w:pPr>
      <w:r>
        <w:rPr>
          <w:rFonts w:ascii="Arial" w:cs="Arial" w:eastAsia="Arial" w:hAnsi="Arial"/>
          <w:color w:val="1A1A2E"/>
          <w:sz w:val="20"/>
          <w:szCs w:val="20"/>
        </w:rPr>
        <w:t xml:space="preserve">Whenever a new cloud service, CDN, or third-party API is introduced, confirm its data residency explicitly — "the vendor is probably fine" is not a sufficient answer. The Third-Party Processor List (Q8 above) is where this confirmation should be recorded for every vendor, not just assumed once at the time of selection.</w:t>
      </w:r>
    </w:p>
    <w:p>
      <w:pPr>
        <w:pStyle w:val="ListParagraph"/>
        <w:numPr>
          <w:ilvl w:val="0"/>
          <w:numId w:val="2"/>
        </w:numPr>
        <w:spacing w:after="30" w:before="30"/>
      </w:pPr>
      <w:r>
        <w:rPr>
          <w:rFonts w:ascii="Arial" w:cs="Arial" w:eastAsia="Arial" w:hAnsi="Arial"/>
          <w:color w:val="1A1A2E"/>
          <w:sz w:val="19"/>
          <w:szCs w:val="19"/>
        </w:rPr>
        <w:t xml:space="preserve">Reference: Part A — Data Localisation &amp; Cross-Border Transfer Check table</w:t>
      </w:r>
    </w:p>
    <w:p>
      <w:pPr>
        <w:pStyle w:val="ListParagraph"/>
        <w:numPr>
          <w:ilvl w:val="0"/>
          <w:numId w:val="2"/>
        </w:numPr>
        <w:spacing w:after="30" w:before="30"/>
      </w:pPr>
      <w:r>
        <w:rPr>
          <w:rFonts w:ascii="Arial" w:cs="Arial" w:eastAsia="Arial" w:hAnsi="Arial"/>
          <w:color w:val="1A1A2E"/>
          <w:sz w:val="19"/>
          <w:szCs w:val="19"/>
        </w:rPr>
        <w:t xml:space="preserve">Reference: Part K — Privacy Policy Section 19 (International Data Transfers and Data Localisation)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Q10</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there a deletion or retention process for this data?</w:t>
            </w:r>
          </w:p>
        </w:tc>
      </w:tr>
    </w:tbl>
    <w:p>
      <w:r>
        <w:t xml:space="preserve"/>
      </w:r>
    </w:p>
    <w:p>
      <w:pPr>
        <w:spacing w:after="60" w:before="60"/>
      </w:pPr>
      <w:r>
        <w:rPr>
          <w:rFonts w:ascii="Arial" w:cs="Arial" w:eastAsia="Arial" w:hAnsi="Arial"/>
          <w:color w:val="1A1A2E"/>
          <w:sz w:val="20"/>
          <w:szCs w:val="20"/>
        </w:rPr>
        <w:t xml:space="preserve">Every data type in Part A's inventory has a retention period attached to it, expanded into a full schedule in Part K's Data Retention Policy. Before adding a new collection or field, confirm it has a corresponding entry in that retention schedule — and that the technical implementation matches it. TTL indexes (Part D, Part G) should be used for anything with a fixed, automatic expiry (OTPs, sessions, password reset tokens). Anything tied to a farmer's Right to Erasure request should follow the soft-delete-then-hard-delete pattern described in Part F (file deletion) and Part K (Data Retention Policy Section 6) — flag as deleted immediately, hard-delete within 30 days, except where a longer legal retention period applies (KYC and payout records under RBI/Income Tax Act rules).</w:t>
      </w:r>
    </w:p>
    <w:p>
      <w:pPr>
        <w:pStyle w:val="ListParagraph"/>
        <w:numPr>
          <w:ilvl w:val="0"/>
          <w:numId w:val="2"/>
        </w:numPr>
        <w:spacing w:after="30" w:before="30"/>
      </w:pPr>
      <w:r>
        <w:rPr>
          <w:rFonts w:ascii="Arial" w:cs="Arial" w:eastAsia="Arial" w:hAnsi="Arial"/>
          <w:color w:val="1A1A2E"/>
          <w:sz w:val="19"/>
          <w:szCs w:val="19"/>
        </w:rPr>
        <w:t xml:space="preserve">Reference: Part A — "How long is it retained?" column in both data inventory tables</w:t>
      </w:r>
    </w:p>
    <w:p>
      <w:pPr>
        <w:pStyle w:val="ListParagraph"/>
        <w:numPr>
          <w:ilvl w:val="0"/>
          <w:numId w:val="2"/>
        </w:numPr>
        <w:spacing w:after="30" w:before="30"/>
      </w:pPr>
      <w:r>
        <w:rPr>
          <w:rFonts w:ascii="Arial" w:cs="Arial" w:eastAsia="Arial" w:hAnsi="Arial"/>
          <w:color w:val="1A1A2E"/>
          <w:sz w:val="19"/>
          <w:szCs w:val="19"/>
        </w:rPr>
        <w:t xml:space="preserve">Reference: Part K — Data Retention Policy (full retention schedule, Section 6 deletion process)</w:t>
      </w:r>
    </w:p>
    <w:p>
      <w:pPr>
        <w:pStyle w:val="ListParagraph"/>
        <w:numPr>
          <w:ilvl w:val="0"/>
          <w:numId w:val="2"/>
        </w:numPr>
        <w:spacing w:after="30" w:before="30"/>
      </w:pPr>
      <w:r>
        <w:rPr>
          <w:rFonts w:ascii="Arial" w:cs="Arial" w:eastAsia="Arial" w:hAnsi="Arial"/>
          <w:color w:val="1A1A2E"/>
          <w:sz w:val="19"/>
          <w:szCs w:val="19"/>
        </w:rPr>
        <w:t xml:space="preserve">Reference: Part F — softDeleteFarmerFiles / hardDeleteExpiredFiles implementation</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Q11</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Does this action need to be logged for audit trail?</w:t>
            </w:r>
          </w:p>
        </w:tc>
      </w:tr>
    </w:tbl>
    <w:p>
      <w:r>
        <w:t xml:space="preserve"/>
      </w:r>
    </w:p>
    <w:p>
      <w:pPr>
        <w:spacing w:after="60" w:before="60"/>
      </w:pPr>
      <w:r>
        <w:rPr>
          <w:rFonts w:ascii="Arial" w:cs="Arial" w:eastAsia="Arial" w:hAnsi="Arial"/>
          <w:color w:val="1A1A2E"/>
          <w:sz w:val="20"/>
          <w:szCs w:val="20"/>
        </w:rPr>
        <w:t xml:space="preserve">Cross-check the action against Part H's "What Should Be Logged" table. If the action falls into any of those categories — login success/failure, payout initiated/completed, KYC verification attempt, farm boundary accessed/modified, drone imagery upload/access, admin role change, bulk data export, consent submitted/withdrawn, or support ticket opened/resolved — it must write an entry to the append-only AuditLog collection (Part C, Part H), not just a general application log line.</w:t>
      </w:r>
    </w:p>
    <w:p>
      <w:pPr>
        <w:spacing w:after="60" w:before="60"/>
      </w:pPr>
      <w:r>
        <w:rPr>
          <w:rFonts w:ascii="Arial" w:cs="Arial" w:eastAsia="Arial" w:hAnsi="Arial"/>
          <w:color w:val="1A1A2E"/>
          <w:sz w:val="20"/>
          <w:szCs w:val="20"/>
        </w:rPr>
        <w:t xml:space="preserve">Use the logAuditEvent helper from Part H, which writes to both the structured application log (for real-time alerting) and the immutable AuditLog collection (for the 180-day CERT-In retention requirement). Any action that does not clearly fall into an existing logged category but involves sensitive data should be added to the table rather than silently skipped.</w:t>
      </w:r>
    </w:p>
    <w:p>
      <w:pPr>
        <w:pStyle w:val="ListParagraph"/>
        <w:numPr>
          <w:ilvl w:val="0"/>
          <w:numId w:val="2"/>
        </w:numPr>
        <w:spacing w:after="30" w:before="30"/>
      </w:pPr>
      <w:r>
        <w:rPr>
          <w:rFonts w:ascii="Arial" w:cs="Arial" w:eastAsia="Arial" w:hAnsi="Arial"/>
          <w:color w:val="1A1A2E"/>
          <w:sz w:val="19"/>
          <w:szCs w:val="19"/>
        </w:rPr>
        <w:t xml:space="preserve">Reference: Part H — "What Should Be Logged" table and logAuditEvent implementation</w:t>
      </w:r>
    </w:p>
    <w:p>
      <w:pPr>
        <w:pStyle w:val="ListParagraph"/>
        <w:numPr>
          <w:ilvl w:val="0"/>
          <w:numId w:val="2"/>
        </w:numPr>
        <w:spacing w:after="30" w:before="30"/>
      </w:pPr>
      <w:r>
        <w:rPr>
          <w:rFonts w:ascii="Arial" w:cs="Arial" w:eastAsia="Arial" w:hAnsi="Arial"/>
          <w:color w:val="1A1A2E"/>
          <w:sz w:val="19"/>
          <w:szCs w:val="19"/>
        </w:rPr>
        <w:t xml:space="preserve">Reference: Part C — Admin Action Audit Logging (append-only AuditLog schema)</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Q12</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1"/>
                <w:szCs w:val="21"/>
              </w:rPr>
              <w:t xml:space="preserve">Is there a breach scenario where this data could be exposed?</w:t>
            </w:r>
          </w:p>
        </w:tc>
      </w:tr>
    </w:tbl>
    <w:p>
      <w:r>
        <w:t xml:space="preserve"/>
      </w:r>
    </w:p>
    <w:p>
      <w:pPr>
        <w:spacing w:after="60" w:before="60"/>
      </w:pPr>
      <w:r>
        <w:rPr>
          <w:rFonts w:ascii="Arial" w:cs="Arial" w:eastAsia="Arial" w:hAnsi="Arial"/>
          <w:color w:val="1A1A2E"/>
          <w:sz w:val="20"/>
          <w:szCs w:val="20"/>
        </w:rPr>
        <w:t xml:space="preserve">Run the change mentally through Part I's Step 1 (Identify) list: could this code path result in farmer personal/financial data exposure, unauthorised GPS/imagery access, payout system compromise, the wrong user accessing KYC documents, a publicly exposed bucket, or a compromised admin account? If the answer is yes for any plausible failure mode, the review should not proceed until the corresponding control from Parts C, D, F, or G is confirmed in place — and the specific scenario should be added to Part I's Step 1 list if it is not already covered there.</w:t>
      </w:r>
    </w:p>
    <w:p>
      <w:pPr>
        <w:spacing w:after="60" w:before="60"/>
      </w:pPr>
      <w:r>
        <w:rPr>
          <w:rFonts w:ascii="Arial" w:cs="Arial" w:eastAsia="Arial" w:hAnsi="Arial"/>
          <w:color w:val="1A1A2E"/>
          <w:sz w:val="20"/>
          <w:szCs w:val="20"/>
        </w:rPr>
        <w:t xml:space="preserve">This question is the final gate precisely because it is the most likely to catch something the other eleven missed — Parts C through J each defend against a specific category of failure, but a new feature can combine two safe-looking pieces in a way that creates a new exposure path. Treat this as a deliberate "what's the worst case if this is wrong" pause before merging, not a rhetorical question.</w:t>
      </w:r>
    </w:p>
    <w:p>
      <w:pPr>
        <w:pStyle w:val="ListParagraph"/>
        <w:numPr>
          <w:ilvl w:val="0"/>
          <w:numId w:val="2"/>
        </w:numPr>
        <w:spacing w:after="30" w:before="30"/>
      </w:pPr>
      <w:r>
        <w:rPr>
          <w:rFonts w:ascii="Arial" w:cs="Arial" w:eastAsia="Arial" w:hAnsi="Arial"/>
          <w:color w:val="1A1A2E"/>
          <w:sz w:val="19"/>
          <w:szCs w:val="19"/>
        </w:rPr>
        <w:t xml:space="preserve">Reference: Part I — Step 1 (Identify), Step 2 (Contain) checklists</w:t>
      </w:r>
    </w:p>
    <w:p>
      <w:pPr>
        <w:pStyle w:val="ListParagraph"/>
        <w:numPr>
          <w:ilvl w:val="0"/>
          <w:numId w:val="2"/>
        </w:numPr>
        <w:spacing w:after="30" w:before="30"/>
      </w:pPr>
      <w:r>
        <w:rPr>
          <w:rFonts w:ascii="Arial" w:cs="Arial" w:eastAsia="Arial" w:hAnsi="Arial"/>
          <w:color w:val="1A1A2E"/>
          <w:sz w:val="19"/>
          <w:szCs w:val="19"/>
        </w:rPr>
        <w:t xml:space="preserve">Reference: Part C — Access Control Testing Tasks, as a model for thinking through failure modes before they occur</w:t>
      </w:r>
    </w:p>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Quick-Reference Summary</w:t>
      </w:r>
    </w:p>
    <w:p>
      <w:pPr>
        <w:pBdr>
          <w:bottom w:val="single" w:color="52B788" w:sz="6" w:space="1"/>
        </w:pBdr>
        <w:spacing w:after="60" w:before="60"/>
      </w:pPr>
      <w:r>
        <w:t xml:space="preserve"/>
      </w:r>
    </w:p>
    <w:p>
      <w:r>
        <w:t xml:space="preserve"/>
      </w:r>
    </w:p>
    <w:p>
      <w:pPr>
        <w:spacing w:after="60" w:before="60"/>
      </w:pPr>
      <w:r>
        <w:rPr>
          <w:rFonts w:ascii="Arial" w:cs="Arial" w:eastAsia="Arial" w:hAnsi="Arial"/>
          <w:color w:val="1A1A2E"/>
          <w:sz w:val="20"/>
          <w:szCs w:val="20"/>
        </w:rPr>
        <w:t xml:space="preserve">Use this table as the at-a-glance version of the twelve questions during a fast review.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580"/>
      </w:tblGrid>
      <w:tr>
        <w:trPr>
          <w:tblHeader/>
        </w:trPr>
        <w:tc>
          <w:tcPr>
            <w:tcW w:type="dxa" w:w="3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4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Question</w:t>
            </w:r>
          </w:p>
        </w:tc>
        <w:tc>
          <w:tcPr>
            <w:tcW w:type="dxa" w:w="458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Where to Check</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this data necessary? (data minimisation)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A — Data Inventory; Part J — AI data minimisation</w:t>
            </w:r>
          </w:p>
        </w:tc>
      </w:tr>
      <w:tr>
        <w:tc>
          <w:tcPr>
            <w:tcW w:type="dxa" w:w="3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2</w:t>
            </w:r>
          </w:p>
        </w:tc>
        <w:tc>
          <w:tcPr>
            <w:tcW w:type="dxa" w:w="4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consent captured for this specific purpose?</w:t>
            </w:r>
          </w:p>
        </w:tc>
        <w:tc>
          <w:tcPr>
            <w:tcW w:type="dxa" w:w="45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E — Forms Review Checklist; Part K — Consent Policy &amp; Notice</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Aadhaar, bank account, or payment card data involved?</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A — Aadhaar Warning; Part D — Sensitive Fields table; Part H — Never Log table</w:t>
            </w:r>
          </w:p>
        </w:tc>
      </w:tr>
      <w:tr>
        <w:tc>
          <w:tcPr>
            <w:tcW w:type="dxa" w:w="3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4</w:t>
            </w:r>
          </w:p>
        </w:tc>
        <w:tc>
          <w:tcPr>
            <w:tcW w:type="dxa" w:w="4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GPS or satellite farm data involved?</w:t>
            </w:r>
          </w:p>
        </w:tc>
        <w:tc>
          <w:tcPr>
            <w:tcW w:type="dxa" w:w="45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A — Farm Data Sensitivity; Part J — Drone &amp; Satellite Data Ethics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the API protected with auth + role + ownership checks?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C — RBAC Matrix, IDOR Prevention; Part D — four-layer check</w:t>
            </w:r>
          </w:p>
        </w:tc>
      </w:tr>
      <w:tr>
        <w:tc>
          <w:tcPr>
            <w:tcW w:type="dxa" w:w="3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6</w:t>
            </w:r>
          </w:p>
        </w:tc>
        <w:tc>
          <w:tcPr>
            <w:tcW w:type="dxa" w:w="4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the file upload validated (MIME, extension, size, private storage)?</w:t>
            </w:r>
          </w:p>
        </w:tc>
        <w:tc>
          <w:tcPr>
            <w:tcW w:type="dxa" w:w="45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F — Upload Security Controls, S3 Bucket Policy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sensitive data visible in logs?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H — Never Log table; Part J — Prompt Log Redaction</w:t>
            </w:r>
          </w:p>
        </w:tc>
      </w:tr>
      <w:tr>
        <w:tc>
          <w:tcPr>
            <w:tcW w:type="dxa" w:w="3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8</w:t>
            </w:r>
          </w:p>
        </w:tc>
        <w:tc>
          <w:tcPr>
            <w:tcW w:type="dxa" w:w="4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data shared with a third party? Is there a DPA?</w:t>
            </w:r>
          </w:p>
        </w:tc>
        <w:tc>
          <w:tcPr>
            <w:tcW w:type="dxa" w:w="45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B — Data Processors; Part K — Third-Party Processor List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data crossing India's borders? (localisation check)</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A — Data Localisation Check; Part K — Privacy Policy §19</w:t>
            </w:r>
          </w:p>
        </w:tc>
      </w:tr>
      <w:tr>
        <w:tc>
          <w:tcPr>
            <w:tcW w:type="dxa" w:w="3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10</w:t>
            </w:r>
          </w:p>
        </w:tc>
        <w:tc>
          <w:tcPr>
            <w:tcW w:type="dxa" w:w="4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there a deletion or retention process for this data?</w:t>
            </w:r>
          </w:p>
        </w:tc>
        <w:tc>
          <w:tcPr>
            <w:tcW w:type="dxa" w:w="45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A — Retention column; Part K — Data Retention Policy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4332"/>
                <w:sz w:val="17"/>
                <w:szCs w:val="17"/>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Does this action need to be logged for audit trail?</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H — What Should Be Logged; Part C — AuditLog schema</w:t>
            </w:r>
          </w:p>
        </w:tc>
      </w:tr>
      <w:tr>
        <w:tc>
          <w:tcPr>
            <w:tcW w:type="dxa" w:w="3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4332"/>
                <w:sz w:val="17"/>
                <w:szCs w:val="17"/>
              </w:rPr>
              <w:t xml:space="preserve">12</w:t>
            </w:r>
          </w:p>
        </w:tc>
        <w:tc>
          <w:tcPr>
            <w:tcW w:type="dxa" w:w="4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Is there a breach scenario where this data could be exposed?</w:t>
            </w:r>
          </w:p>
        </w:tc>
        <w:tc>
          <w:tcPr>
            <w:tcW w:type="dxa" w:w="45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Part I — Step 1 Identify checklist</w:t>
            </w:r>
          </w:p>
        </w:tc>
      </w:tr>
    </w:tbl>
    <w:p>
      <w:r>
        <w:t xml:space="preserve"/>
      </w:r>
    </w:p>
    <w:p>
      <w:r>
        <w:t xml:space="preserve"/>
      </w:r>
    </w:p>
    <w:p>
      <w:pPr>
        <w:pBdr>
          <w:bottom w:val="single" w:color="52B788" w:sz="6" w:space="1"/>
        </w:pBdr>
        <w:spacing w:after="60" w:before="60"/>
      </w:pPr>
      <w:r>
        <w:t xml:space="preserve"/>
      </w:r>
    </w:p>
    <w:p>
      <w:pPr>
        <w:spacing w:after="80" w:before="160"/>
        <w:jc w:val="center"/>
      </w:pPr>
      <w:r>
        <w:rPr>
          <w:rFonts w:ascii="Arial" w:cs="Arial" w:eastAsia="Arial" w:hAnsi="Arial"/>
          <w:b/>
          <w:bCs/>
          <w:color w:val="2D6A4F"/>
          <w:sz w:val="22"/>
          <w:szCs w:val="22"/>
        </w:rPr>
        <w:t xml:space="preserve">END OF PART M — DAILY SECURITY CHECKLIST</w:t>
      </w:r>
    </w:p>
    <w:p>
      <w:pPr>
        <w:spacing w:after="40" w:before="40"/>
        <w:jc w:val="center"/>
      </w:pPr>
      <w:r>
        <w:rPr>
          <w:rFonts w:ascii="Arial" w:cs="Arial" w:eastAsia="Arial" w:hAnsi="Arial"/>
          <w:i/>
          <w:iCs/>
          <w:color w:val="888888"/>
          <w:sz w:val="18"/>
          <w:szCs w:val="18"/>
        </w:rPr>
        <w:t xml:space="preserve">Eartigo AgriTech Platform  |  CONFIDENTIAL — For Internal Internship Team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1"/>
      </w:pBdr>
      <w:jc w:val="center"/>
    </w:pPr>
    <w:r>
      <w:rPr>
        <w:rFonts w:ascii="Arial" w:cs="Arial" w:eastAsia="Arial" w:hAnsi="Arial"/>
        <w:color w:val="666666"/>
        <w:sz w:val="16"/>
        <w:szCs w:val="16"/>
      </w:rPr>
      <w:t xml:space="preserve">Eartigo AgriTech Platform  |  CONFIDENTIAL — INTERNAL USE ONLY  |  Page </w:t>
    </w:r>
    <w:r>
      <w:rPr>
        <w:rFonts w:ascii="Arial" w:cs="Arial" w:eastAsia="Arial" w:hAnsi="Arial"/>
        <w:color w:val="2D6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jc w:val="right"/>
    </w:pPr>
    <w:r>
      <w:rPr>
        <w:rFonts w:ascii="Arial" w:cs="Arial" w:eastAsia="Arial" w:hAnsi="Arial"/>
        <w:b/>
        <w:bCs/>
        <w:color w:val="2D6A4F"/>
        <w:sz w:val="15"/>
        <w:szCs w:val="15"/>
      </w:rPr>
      <w:t xml:space="preserve">EARTIGO — CYBERSECURITY INTERNSHIP  |  PART M: DAILY SECURITY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4332"/>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D6A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2026-06-16T04:44:41.070Z</dcterms:created>
  <dcterms:modified xsi:type="dcterms:W3CDTF">2026-06-16T04:44:41.084Z</dcterms:modified>
</cp:coreProperties>
</file>

<file path=docProps/custom.xml><?xml version="1.0" encoding="utf-8"?>
<Properties xmlns="http://schemas.openxmlformats.org/officeDocument/2006/custom-properties" xmlns:vt="http://schemas.openxmlformats.org/officeDocument/2006/docPropsVTypes"/>
</file>