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B4332"/>
          <w:sz w:val="52"/>
          <w:szCs w:val="52"/>
        </w:rPr>
        <w:t xml:space="preserve">EARTIGO AGRITECH PLATFORM</w:t>
      </w:r>
    </w:p>
    <w:p>
      <w:pPr>
        <w:spacing w:after="80" w:before="0"/>
        <w:jc w:val="center"/>
      </w:pPr>
      <w:r>
        <w:rPr>
          <w:rFonts w:ascii="Arial" w:cs="Arial" w:eastAsia="Arial" w:hAnsi="Arial"/>
          <w:i/>
          <w:iCs/>
          <w:color w:val="52B788"/>
          <w:sz w:val="26"/>
          <w:szCs w:val="26"/>
        </w:rPr>
        <w:t xml:space="preserve">fresh.eartigo.com</w:t>
      </w:r>
    </w:p>
    <w:p>
      <w:pPr>
        <w:pBdr>
          <w:bottom w:val="single" w:color="52B788" w:sz="6" w:space="1"/>
        </w:pBdr>
        <w:spacing w:after="60" w:before="60"/>
      </w:pPr>
      <w:r>
        <w:t xml:space="preserve"/>
      </w:r>
    </w:p>
    <w:p>
      <w:pPr>
        <w:spacing w:after="80" w:before="120"/>
        <w:jc w:val="center"/>
      </w:pPr>
      <w:r>
        <w:rPr>
          <w:rFonts w:ascii="Arial" w:cs="Arial" w:eastAsia="Arial" w:hAnsi="Arial"/>
          <w:b/>
          <w:bCs/>
          <w:color w:val="2D6A4F"/>
          <w:sz w:val="30"/>
          <w:szCs w:val="30"/>
        </w:rPr>
        <w:t xml:space="preserve">CYBERSECURITY &amp; DATA PROTECTION INTERNSHIP</w:t>
      </w:r>
    </w:p>
    <w:p>
      <w:pPr>
        <w:spacing w:after="40" w:before="40"/>
        <w:jc w:val="center"/>
      </w:pPr>
      <w:r>
        <w:rPr>
          <w:rFonts w:ascii="Arial" w:cs="Arial" w:eastAsia="Arial" w:hAnsi="Arial"/>
          <w:b/>
          <w:bCs/>
          <w:color w:val="1A1A2E"/>
          <w:sz w:val="26"/>
          <w:szCs w:val="26"/>
        </w:rPr>
        <w:t xml:space="preserve">Part A — Data Inventory, Mapping &amp; Security Implementation Guide</w:t>
      </w:r>
    </w:p>
    <w:p>
      <w:r>
        <w:t xml:space="preserve"/>
      </w:r>
    </w:p>
    <w:p>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gridSpan w:val="1"/>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Document Status</w:t>
            </w:r>
          </w:p>
        </w:tc>
        <w:tc>
          <w:tcPr>
            <w:tcW w:type="dxa" w:w="3600"/>
            <w:gridSpan w:val="1"/>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FFFFFF"/>
                <w:sz w:val="18"/>
                <w:szCs w:val="18"/>
              </w:rPr>
              <w:t xml:space="preserve">CONFIDENTIAL — INTERNAL USE ONLY</w:t>
            </w:r>
          </w:p>
        </w:tc>
      </w:tr>
      <w:tr>
        <w:tc>
          <w:tcPr>
            <w:tcW w:type="dxa" w:w="3600"/>
            <w:gridSpan w:val="1"/>
            <w:tcBorders>
              <w:top w:val="single" w:color="CCCCCC" w:sz="1"/>
              <w:left w:val="single" w:color="CCCCCC" w:sz="1"/>
              <w:bottom w:val="single" w:color="CCCCCC" w:sz="1"/>
              <w:right w:val="single" w:color="CCCCCC" w:sz="1"/>
            </w:tcBorders>
            <w:shd w:fill="D8F3DC"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Platform</w:t>
            </w:r>
          </w:p>
        </w:tc>
        <w:tc>
          <w:tcPr>
            <w:tcW w:type="dxa" w:w="3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Eartigo (fresh.eartigo.com)</w:t>
            </w:r>
          </w:p>
        </w:tc>
      </w:tr>
      <w:tr>
        <w:tc>
          <w:tcPr>
            <w:tcW w:type="dxa" w:w="3600"/>
            <w:gridSpan w:val="1"/>
            <w:tcBorders>
              <w:top w:val="single" w:color="CCCCCC" w:sz="1"/>
              <w:left w:val="single" w:color="CCCCCC" w:sz="1"/>
              <w:bottom w:val="single" w:color="CCCCCC" w:sz="1"/>
              <w:right w:val="single" w:color="CCCCCC" w:sz="1"/>
            </w:tcBorders>
            <w:shd w:fill="D8F3DC"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Prepared For</w:t>
            </w:r>
          </w:p>
        </w:tc>
        <w:tc>
          <w:tcPr>
            <w:tcW w:type="dxa" w:w="3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Incoming Cybersecurity Internship Team</w:t>
            </w:r>
          </w:p>
        </w:tc>
      </w:tr>
      <w:tr>
        <w:tc>
          <w:tcPr>
            <w:tcW w:type="dxa" w:w="3600"/>
            <w:gridSpan w:val="1"/>
            <w:tcBorders>
              <w:top w:val="single" w:color="CCCCCC" w:sz="1"/>
              <w:left w:val="single" w:color="CCCCCC" w:sz="1"/>
              <w:bottom w:val="single" w:color="CCCCCC" w:sz="1"/>
              <w:right w:val="single" w:color="CCCCCC" w:sz="1"/>
            </w:tcBorders>
            <w:shd w:fill="D8F3DC"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Regulatory Scope</w:t>
            </w:r>
          </w:p>
        </w:tc>
        <w:tc>
          <w:tcPr>
            <w:tcW w:type="dxa" w:w="3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DPDP Act 2023, IT Act 2000, CERT-In 2022, RBI PA Guidelines, Aadhaar Act, Drone Rules 2021, RSDP 2011</w:t>
            </w:r>
          </w:p>
        </w:tc>
      </w:tr>
      <w:tr>
        <w:tc>
          <w:tcPr>
            <w:tcW w:type="dxa" w:w="3600"/>
            <w:gridSpan w:val="1"/>
            <w:tcBorders>
              <w:top w:val="single" w:color="CCCCCC" w:sz="1"/>
              <w:left w:val="single" w:color="CCCCCC" w:sz="1"/>
              <w:bottom w:val="single" w:color="CCCCCC" w:sz="1"/>
              <w:right w:val="single" w:color="CCCCCC" w:sz="1"/>
            </w:tcBorders>
            <w:shd w:fill="D8F3DC"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Document Part</w:t>
            </w:r>
          </w:p>
        </w:tc>
        <w:tc>
          <w:tcPr>
            <w:tcW w:type="dxa" w:w="3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Part A — Data Inventory &amp; Security Implementation</w:t>
            </w:r>
          </w:p>
        </w:tc>
      </w:tr>
    </w:tbl>
    <w:p>
      <w:r>
        <w:t xml:space="preserve"/>
      </w:r>
    </w:p>
    <w:p>
      <w:r>
        <w:t xml:space="preserve"/>
      </w:r>
    </w:p>
    <w:p>
      <w:r>
        <w:br w:type="page"/>
      </w:r>
    </w:p>
    <w:p>
      <w:pPr>
        <w:pStyle w:val="Heading1"/>
        <w:spacing w:after="160" w:before="360"/>
      </w:pPr>
      <w:r>
        <w:rPr>
          <w:rFonts w:ascii="Arial" w:cs="Arial" w:eastAsia="Arial" w:hAnsi="Arial"/>
          <w:b/>
          <w:bCs/>
          <w:color w:val="1B4332"/>
          <w:sz w:val="36"/>
          <w:szCs w:val="36"/>
        </w:rPr>
        <w:t xml:space="preserve">1. Introduction &amp; Purpose</w:t>
      </w:r>
    </w:p>
    <w:p>
      <w:pPr>
        <w:pBdr>
          <w:bottom w:val="single" w:color="52B788" w:sz="6" w:space="1"/>
        </w:pBdr>
        <w:spacing w:after="60" w:before="60"/>
      </w:pPr>
      <w:r>
        <w:t xml:space="preserve"/>
      </w:r>
    </w:p>
    <w:p>
      <w:r>
        <w:t xml:space="preserve"/>
      </w:r>
    </w:p>
    <w:p>
      <w:pPr>
        <w:spacing w:after="60" w:before="60"/>
        <w:jc w:val="left"/>
      </w:pPr>
      <w:r>
        <w:rPr>
          <w:rFonts w:ascii="Arial" w:cs="Arial" w:eastAsia="Arial" w:hAnsi="Arial"/>
          <w:color w:val="1A1A2E"/>
          <w:sz w:val="20"/>
          <w:szCs w:val="20"/>
        </w:rPr>
        <w:t xml:space="preserve">This document constitutes Part A of the Eartigo Cybersecurity and Data Protection Internship deliverable. It provides the incoming internship team with a structured Data Inventory covering all data categories collected and processed by the Eartigo platform, together with actionable security implementation guidance for each category.</w:t>
      </w:r>
    </w:p>
    <w:p>
      <w:r>
        <w:t xml:space="preserve"/>
      </w:r>
    </w:p>
    <w:p>
      <w:pPr>
        <w:spacing w:after="60" w:before="60"/>
        <w:jc w:val="left"/>
      </w:pPr>
      <w:r>
        <w:rPr>
          <w:rFonts w:ascii="Arial" w:cs="Arial" w:eastAsia="Arial" w:hAnsi="Arial"/>
          <w:color w:val="1A1A2E"/>
          <w:sz w:val="20"/>
          <w:szCs w:val="20"/>
        </w:rPr>
        <w:t xml:space="preserve">Eartigo is not a standard e-commerce platform. It processes three simultaneous high-sensitivity data layers:</w:t>
      </w:r>
    </w:p>
    <w:p>
      <w:pPr>
        <w:pStyle w:val="ListParagraph"/>
        <w:numPr>
          <w:ilvl w:val="0"/>
          <w:numId w:val="2"/>
        </w:numPr>
        <w:spacing w:after="40" w:before="40"/>
      </w:pPr>
      <w:r>
        <w:rPr>
          <w:rFonts w:ascii="Arial" w:cs="Arial" w:eastAsia="Arial" w:hAnsi="Arial"/>
          <w:color w:val="1A1A2E"/>
          <w:sz w:val="19"/>
          <w:szCs w:val="19"/>
        </w:rPr>
        <w:t xml:space="preserve">Farmer Personal &amp; Financial Data — Aadhaar/KYC, bank accounts, land records, transaction history</w:t>
      </w:r>
    </w:p>
    <w:p>
      <w:pPr>
        <w:pStyle w:val="ListParagraph"/>
        <w:numPr>
          <w:ilvl w:val="0"/>
          <w:numId w:val="2"/>
        </w:numPr>
        <w:spacing w:after="40" w:before="40"/>
      </w:pPr>
      <w:r>
        <w:rPr>
          <w:rFonts w:ascii="Arial" w:cs="Arial" w:eastAsia="Arial" w:hAnsi="Arial"/>
          <w:color w:val="1A1A2E"/>
          <w:sz w:val="19"/>
          <w:szCs w:val="19"/>
        </w:rPr>
        <w:t xml:space="preserve">Buyer/Consumer Data — Purchase history, delivery addresses, payment details, GSTIN</w:t>
      </w:r>
    </w:p>
    <w:p>
      <w:pPr>
        <w:pStyle w:val="ListParagraph"/>
        <w:numPr>
          <w:ilvl w:val="0"/>
          <w:numId w:val="2"/>
        </w:numPr>
        <w:spacing w:after="40" w:before="40"/>
      </w:pPr>
      <w:r>
        <w:rPr>
          <w:rFonts w:ascii="Arial" w:cs="Arial" w:eastAsia="Arial" w:hAnsi="Arial"/>
          <w:color w:val="1A1A2E"/>
          <w:sz w:val="19"/>
          <w:szCs w:val="19"/>
        </w:rPr>
        <w:t xml:space="preserve">Precision Agriculture Intelligence — GPS farm boundaries, satellite imagery, drone footage, IoT sensor data, AI-generated crop health assessments</w:t>
      </w:r>
    </w:p>
    <w:p>
      <w:r>
        <w:t xml:space="preserve"/>
      </w:r>
    </w:p>
    <w:p>
      <w:pPr>
        <w:spacing w:after="60" w:before="60"/>
        <w:jc w:val="left"/>
      </w:pPr>
      <w:r>
        <w:rPr>
          <w:rFonts w:ascii="Arial" w:cs="Arial" w:eastAsia="Arial" w:hAnsi="Arial"/>
          <w:color w:val="1A1A2E"/>
          <w:sz w:val="20"/>
          <w:szCs w:val="20"/>
        </w:rPr>
        <w:t xml:space="preserve">Each layer carries distinct legal obligations and attack surfaces. This guide answers eight core inventory questions for every data type and maps each answer to a specific, implementable security control.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0392B" w:sz="1"/>
              <w:left w:val="single" w:color="C0392B" w:sz="12"/>
              <w:bottom w:val="single" w:color="C0392B" w:sz="1"/>
              <w:right w:val="single" w:color="C0392B" w:sz="1"/>
            </w:tcBorders>
            <w:shd w:fill="FDECEA" w:val="clear"/>
            <w:tcMar>
              <w:top w:type="dxa" w:w="120"/>
              <w:left w:type="dxa" w:w="200"/>
              <w:bottom w:type="dxa" w:w="120"/>
              <w:right w:type="dxa" w:w="200"/>
            </w:tcMar>
          </w:tcPr>
          <w:p>
            <w:r>
              <w:rPr>
                <w:rFonts w:ascii="Arial" w:cs="Arial" w:eastAsia="Arial" w:hAnsi="Arial"/>
                <w:b/>
                <w:bCs/>
                <w:color w:val="C0392B"/>
                <w:sz w:val="19"/>
                <w:szCs w:val="19"/>
              </w:rPr>
              <w:t xml:space="preserve">CRITICAL LEGAL NOTE:  </w:t>
            </w:r>
            <w:r>
              <w:rPr>
                <w:rFonts w:ascii="Arial" w:cs="Arial" w:eastAsia="Arial" w:hAnsi="Arial"/>
                <w:color w:val="1A1A2E"/>
                <w:sz w:val="19"/>
                <w:szCs w:val="19"/>
              </w:rPr>
              <w:t xml:space="preserve">Eartigo must NOT store full Aadhaar numbers in any database. Only masked/tokenized references via a UIDAI-licensed KYC intermediary are permitted. Unauthorised Aadhaar storage is a criminal offence under the Aadhaar Act 2016.</w:t>
            </w:r>
          </w:p>
        </w:tc>
      </w:tr>
    </w:tbl>
    <w:p>
      <w:r>
        <w:t xml:space="preserve"/>
      </w:r>
    </w:p>
    <w:p>
      <w:r>
        <w:br w:type="page"/>
      </w:r>
    </w:p>
    <w:p>
      <w:pPr>
        <w:pStyle w:val="Heading1"/>
        <w:spacing w:after="160" w:before="360"/>
      </w:pPr>
      <w:r>
        <w:rPr>
          <w:rFonts w:ascii="Arial" w:cs="Arial" w:eastAsia="Arial" w:hAnsi="Arial"/>
          <w:b/>
          <w:bCs/>
          <w:color w:val="1B4332"/>
          <w:sz w:val="36"/>
          <w:szCs w:val="36"/>
        </w:rPr>
        <w:t xml:space="preserve">2. Applicable Regulatory Framework</w:t>
      </w:r>
    </w:p>
    <w:p>
      <w:pPr>
        <w:pBdr>
          <w:bottom w:val="single" w:color="52B788" w:sz="6" w:space="1"/>
        </w:pBdr>
        <w:spacing w:after="60" w:before="60"/>
      </w:pPr>
      <w:r>
        <w:t xml:space="preserve"/>
      </w:r>
    </w:p>
    <w:p>
      <w:r>
        <w:t xml:space="preserve"/>
      </w:r>
    </w:p>
    <w:p>
      <w:pPr>
        <w:spacing w:after="60" w:before="60"/>
        <w:jc w:val="left"/>
      </w:pPr>
      <w:r>
        <w:rPr>
          <w:rFonts w:ascii="Arial" w:cs="Arial" w:eastAsia="Arial" w:hAnsi="Arial"/>
          <w:color w:val="1A1A2E"/>
          <w:sz w:val="20"/>
          <w:szCs w:val="20"/>
        </w:rPr>
        <w:t xml:space="preserve">The following legislation governs Eartigo's data handling obligations. Every security implementation in this guide is traceable to one or more of these frameworks.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Regulation</w:t>
            </w:r>
          </w:p>
        </w:tc>
        <w:tc>
          <w:tcPr>
            <w:tcW w:type="dxa" w:w="316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Domain</w:t>
            </w:r>
          </w:p>
        </w:tc>
        <w:tc>
          <w:tcPr>
            <w:tcW w:type="dxa" w:w="380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Key Obligations for Eartigo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4332"/>
                <w:sz w:val="17"/>
                <w:szCs w:val="17"/>
              </w:rPr>
              <w:t xml:space="preserve">DPDP Act 2023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India's primary data protection law</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Consent, purpose limitation, data minimisation, breach notification, Data Fiduciary obligations for all personal data</w:t>
            </w:r>
          </w:p>
        </w:tc>
      </w:tr>
      <w:tr>
        <w:tc>
          <w:tcPr>
            <w:tcW w:type="dxa" w:w="2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1B4332"/>
                <w:sz w:val="17"/>
                <w:szCs w:val="17"/>
              </w:rPr>
              <w:t xml:space="preserve">IT Act 2000 + SPDI Rules 2011</w:t>
            </w:r>
          </w:p>
        </w:tc>
        <w:tc>
          <w:tcPr>
            <w:tcW w:type="dxa" w:w="31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Backbone cybersecurity law</w:t>
            </w:r>
          </w:p>
        </w:tc>
        <w:tc>
          <w:tcPr>
            <w:tcW w:type="dxa" w:w="3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Reasonable security practices; Sensitive Personal Data protection (passwords, financials, biometrics, location+identity)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4332"/>
                <w:sz w:val="17"/>
                <w:szCs w:val="17"/>
              </w:rPr>
              <w:t xml:space="preserve">CERT-In Directions 2022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Mandatory incident reporting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Report breaches within 6 hours; maintain logs for 180 days; synchronise ICT clocks to NTP</w:t>
            </w:r>
          </w:p>
        </w:tc>
      </w:tr>
      <w:tr>
        <w:tc>
          <w:tcPr>
            <w:tcW w:type="dxa" w:w="2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1B4332"/>
                <w:sz w:val="17"/>
                <w:szCs w:val="17"/>
              </w:rPr>
              <w:t xml:space="preserve">RBI PA Guidelines 2020</w:t>
            </w:r>
          </w:p>
        </w:tc>
        <w:tc>
          <w:tcPr>
            <w:tcW w:type="dxa" w:w="31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Payment security</w:t>
            </w:r>
          </w:p>
        </w:tc>
        <w:tc>
          <w:tcPr>
            <w:tcW w:type="dxa" w:w="3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Use only RBI-licensed Payment Aggregators; no card data storage on platform servers; PCI-DSS alignment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4332"/>
                <w:sz w:val="17"/>
                <w:szCs w:val="17"/>
              </w:rPr>
              <w:t xml:space="preserve">Aadhaar Act 2016 + UIDAI Regs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Aadhaar authentication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No full Aadhaar storage; only UIDAI-authorised AUAs/KUAs may authenticate; no direct biometric capture</w:t>
            </w:r>
          </w:p>
        </w:tc>
      </w:tr>
      <w:tr>
        <w:tc>
          <w:tcPr>
            <w:tcW w:type="dxa" w:w="2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1B4332"/>
                <w:sz w:val="17"/>
                <w:szCs w:val="17"/>
              </w:rPr>
              <w:t xml:space="preserve">Consumer Protection E-Commerce Rules 2020</w:t>
            </w:r>
          </w:p>
        </w:tc>
        <w:tc>
          <w:tcPr>
            <w:tcW w:type="dxa" w:w="31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E-commerce obligations</w:t>
            </w:r>
          </w:p>
        </w:tc>
        <w:tc>
          <w:tcPr>
            <w:tcW w:type="dxa" w:w="3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Display grievance officer, return policy, seller info; no fake reviews; data use disclosure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4332"/>
                <w:sz w:val="17"/>
                <w:szCs w:val="17"/>
              </w:rPr>
              <w:t xml:space="preserve">Drone Rules 2021 (DGCA)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Drone operations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Operator registration mandatory; no-fly zone compliance; imagery must not breach privacy regulations</w:t>
            </w:r>
          </w:p>
        </w:tc>
      </w:tr>
      <w:tr>
        <w:tc>
          <w:tcPr>
            <w:tcW w:type="dxa" w:w="2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1B4332"/>
                <w:sz w:val="17"/>
                <w:szCs w:val="17"/>
              </w:rPr>
              <w:t xml:space="preserve">Remote Sensing Data Policy 2011</w:t>
            </w:r>
          </w:p>
        </w:tc>
        <w:tc>
          <w:tcPr>
            <w:tcW w:type="dxa" w:w="31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Satellite imagery</w:t>
            </w:r>
          </w:p>
        </w:tc>
        <w:tc>
          <w:tcPr>
            <w:tcW w:type="dxa" w:w="3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High-resolution imagery (&lt;1m) requires central govt approval; vendor DPAs must cover RSDP compliance</w:t>
            </w:r>
          </w:p>
        </w:tc>
      </w:tr>
    </w:tbl>
    <w:p>
      <w:r>
        <w:t xml:space="preserve"/>
      </w:r>
    </w:p>
    <w:p>
      <w:r>
        <w:t xml:space="preserve"/>
      </w:r>
    </w:p>
    <w:p>
      <w:r>
        <w:br w:type="page"/>
      </w:r>
    </w:p>
    <w:p>
      <w:pPr>
        <w:pStyle w:val="Heading1"/>
        <w:spacing w:after="160" w:before="360"/>
      </w:pPr>
      <w:r>
        <w:rPr>
          <w:rFonts w:ascii="Arial" w:cs="Arial" w:eastAsia="Arial" w:hAnsi="Arial"/>
          <w:b/>
          <w:bCs/>
          <w:color w:val="1B4332"/>
          <w:sz w:val="36"/>
          <w:szCs w:val="36"/>
        </w:rPr>
        <w:t xml:space="preserve">3. Data Inventory — Category 1: Personal Data (DPDP Act / IT Act)</w:t>
      </w:r>
    </w:p>
    <w:p>
      <w:pPr>
        <w:pBdr>
          <w:bottom w:val="single" w:color="52B788" w:sz="6" w:space="1"/>
        </w:pBdr>
        <w:spacing w:after="60" w:before="60"/>
      </w:pPr>
      <w:r>
        <w:t xml:space="preserve"/>
      </w:r>
    </w:p>
    <w:p>
      <w:r>
        <w:t xml:space="preserve"/>
      </w:r>
    </w:p>
    <w:p>
      <w:pPr>
        <w:spacing w:after="60" w:before="60"/>
        <w:jc w:val="left"/>
      </w:pPr>
      <w:r>
        <w:rPr>
          <w:rFonts w:ascii="Arial" w:cs="Arial" w:eastAsia="Arial" w:hAnsi="Arial"/>
          <w:color w:val="1A1A2E"/>
          <w:sz w:val="20"/>
          <w:szCs w:val="20"/>
        </w:rPr>
        <w:t xml:space="preserve">Category 1 covers all personal data collected directly from farmers and buyers across the Eartigo marketplace. This data is regulated primarily under the DPDP Act 2023 and the IT Act 2000 / SPDI Rules 2011.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80"/>
        <w:gridCol w:w="960"/>
        <w:gridCol w:w="1560"/>
        <w:gridCol w:w="1200"/>
        <w:gridCol w:w="960"/>
        <w:gridCol w:w="1240"/>
      </w:tblGrid>
      <w:tr>
        <w:trPr>
          <w:tblHeader/>
        </w:trPr>
        <w:tc>
          <w:tcPr>
            <w:tcW w:type="dxa" w:w="156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Module</w:t>
            </w:r>
          </w:p>
        </w:tc>
        <w:tc>
          <w:tcPr>
            <w:tcW w:type="dxa" w:w="188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Data Collected</w:t>
            </w:r>
          </w:p>
        </w:tc>
        <w:tc>
          <w:tcPr>
            <w:tcW w:type="dxa" w:w="96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User Type</w:t>
            </w:r>
          </w:p>
        </w:tc>
        <w:tc>
          <w:tcPr>
            <w:tcW w:type="dxa" w:w="156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Purpose</w:t>
            </w:r>
          </w:p>
        </w:tc>
        <w:tc>
          <w:tcPr>
            <w:tcW w:type="dxa" w:w="120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Sensitivity</w:t>
            </w:r>
          </w:p>
        </w:tc>
        <w:tc>
          <w:tcPr>
            <w:tcW w:type="dxa" w:w="96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Retention</w:t>
            </w:r>
          </w:p>
        </w:tc>
        <w:tc>
          <w:tcPr>
            <w:tcW w:type="dxa" w:w="124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3rd Party Shared?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Farmer Registration</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Name, phone, address, DOB, Aadhaar ref, bank details, photo</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Farmer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Account creation, KYC, payout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B7600A"/>
                <w:sz w:val="17"/>
                <w:szCs w:val="17"/>
              </w:rPr>
              <w:t xml:space="preserve">High</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5 years post-exit</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Payment gateway, KYC intermediary</w:t>
            </w:r>
          </w:p>
        </w:tc>
      </w:tr>
      <w:tr>
        <w:tc>
          <w:tcPr>
            <w:tcW w:type="dxa" w:w="15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Buyer Registration</w:t>
            </w:r>
          </w:p>
        </w:tc>
        <w:tc>
          <w:tcPr>
            <w:tcW w:type="dxa" w:w="18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Name, email, phone, billing address, GSTIN</w:t>
            </w:r>
          </w:p>
        </w:tc>
        <w:tc>
          <w:tcPr>
            <w:tcW w:type="dxa" w:w="9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Buyer/Consumer</w:t>
            </w:r>
          </w:p>
        </w:tc>
        <w:tc>
          <w:tcPr>
            <w:tcW w:type="dxa" w:w="15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Account, orders, invoices</w:t>
            </w:r>
          </w:p>
        </w:tc>
        <w:tc>
          <w:tcPr>
            <w:tcW w:type="dxa" w:w="1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1A5276"/>
                <w:sz w:val="17"/>
                <w:szCs w:val="17"/>
              </w:rPr>
              <w:t xml:space="preserve">Medium</w:t>
            </w:r>
          </w:p>
        </w:tc>
        <w:tc>
          <w:tcPr>
            <w:tcW w:type="dxa" w:w="9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3 years</w:t>
            </w:r>
          </w:p>
        </w:tc>
        <w:tc>
          <w:tcPr>
            <w:tcW w:type="dxa" w:w="12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Logistics partner, GST API</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Farmer KYC</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Aadhaar-linked token, PAN ref, bank account, IFSC</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Farmer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Payment processing, govt scheme eligibility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C0392B"/>
                <w:sz w:val="17"/>
                <w:szCs w:val="17"/>
              </w:rPr>
              <w:t xml:space="preserve">Very High</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7 years (RBI mandate)</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Licensed KYC intermediary (bank/NBFC) only</w:t>
            </w:r>
          </w:p>
        </w:tc>
      </w:tr>
      <w:tr>
        <w:tc>
          <w:tcPr>
            <w:tcW w:type="dxa" w:w="15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Product Listings</w:t>
            </w:r>
          </w:p>
        </w:tc>
        <w:tc>
          <w:tcPr>
            <w:tcW w:type="dxa" w:w="18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Crop name, quantity, price, farm location (approx.)</w:t>
            </w:r>
          </w:p>
        </w:tc>
        <w:tc>
          <w:tcPr>
            <w:tcW w:type="dxa" w:w="9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Farmer</w:t>
            </w:r>
          </w:p>
        </w:tc>
        <w:tc>
          <w:tcPr>
            <w:tcW w:type="dxa" w:w="15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Marketplace transactions</w:t>
            </w:r>
          </w:p>
        </w:tc>
        <w:tc>
          <w:tcPr>
            <w:tcW w:type="dxa" w:w="1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1A5276"/>
                <w:sz w:val="17"/>
                <w:szCs w:val="17"/>
              </w:rPr>
              <w:t xml:space="preserve">Medium</w:t>
            </w:r>
          </w:p>
        </w:tc>
        <w:tc>
          <w:tcPr>
            <w:tcW w:type="dxa" w:w="9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Duration of listing + 1 year</w:t>
            </w:r>
          </w:p>
        </w:tc>
        <w:tc>
          <w:tcPr>
            <w:tcW w:type="dxa" w:w="12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None (public listing)</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Orders &amp; Transactions</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Order ID, amount, item, delivery address, payment status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Buyer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Commerce, logistics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B7600A"/>
                <w:sz w:val="17"/>
                <w:szCs w:val="17"/>
              </w:rPr>
              <w:t xml:space="preserve">High</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7 years (tax records)</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Logistics, payment processor</w:t>
            </w:r>
          </w:p>
        </w:tc>
      </w:tr>
      <w:tr>
        <w:tc>
          <w:tcPr>
            <w:tcW w:type="dxa" w:w="15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Farmer Payouts</w:t>
            </w:r>
          </w:p>
        </w:tc>
        <w:tc>
          <w:tcPr>
            <w:tcW w:type="dxa" w:w="18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Bank account, IFSC, transaction ref, amount, date</w:t>
            </w:r>
          </w:p>
        </w:tc>
        <w:tc>
          <w:tcPr>
            <w:tcW w:type="dxa" w:w="9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Farmer</w:t>
            </w:r>
          </w:p>
        </w:tc>
        <w:tc>
          <w:tcPr>
            <w:tcW w:type="dxa" w:w="15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Disbursement</w:t>
            </w:r>
          </w:p>
        </w:tc>
        <w:tc>
          <w:tcPr>
            <w:tcW w:type="dxa" w:w="1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C0392B"/>
                <w:sz w:val="17"/>
                <w:szCs w:val="17"/>
              </w:rPr>
              <w:t xml:space="preserve">Very High</w:t>
            </w:r>
          </w:p>
        </w:tc>
        <w:tc>
          <w:tcPr>
            <w:tcW w:type="dxa" w:w="9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7 years (RBI/IT Act)</w:t>
            </w:r>
          </w:p>
        </w:tc>
        <w:tc>
          <w:tcPr>
            <w:tcW w:type="dxa" w:w="12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Payment Aggregator (RBI licensed)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Platform Analytics</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Clickstream, search queries, usage time, device info</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All users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Product improvement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17"/>
                <w:szCs w:val="17"/>
              </w:rPr>
              <w:t xml:space="preserve">Low-Medium</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12 months rolling</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Analytics provider (if any)</w:t>
            </w:r>
          </w:p>
        </w:tc>
      </w:tr>
      <w:tr>
        <w:tc>
          <w:tcPr>
            <w:tcW w:type="dxa" w:w="15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Support / Grievances</w:t>
            </w:r>
          </w:p>
        </w:tc>
        <w:tc>
          <w:tcPr>
            <w:tcW w:type="dxa" w:w="18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Complaint text, contact info, attachments</w:t>
            </w:r>
          </w:p>
        </w:tc>
        <w:tc>
          <w:tcPr>
            <w:tcW w:type="dxa" w:w="9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All users</w:t>
            </w:r>
          </w:p>
        </w:tc>
        <w:tc>
          <w:tcPr>
            <w:tcW w:type="dxa" w:w="15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Resolution</w:t>
            </w:r>
          </w:p>
        </w:tc>
        <w:tc>
          <w:tcPr>
            <w:tcW w:type="dxa" w:w="1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1A5276"/>
                <w:sz w:val="17"/>
                <w:szCs w:val="17"/>
              </w:rPr>
              <w:t xml:space="preserve">Medium</w:t>
            </w:r>
          </w:p>
        </w:tc>
        <w:tc>
          <w:tcPr>
            <w:tcW w:type="dxa" w:w="9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3 years post-resolution</w:t>
            </w:r>
          </w:p>
        </w:tc>
        <w:tc>
          <w:tcPr>
            <w:tcW w:type="dxa" w:w="12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Internal only</w:t>
            </w:r>
          </w:p>
        </w:tc>
      </w:tr>
    </w:tbl>
    <w:p>
      <w:r>
        <w:t xml:space="preserve"/>
      </w:r>
    </w:p>
    <w:p>
      <w:r>
        <w:t xml:space="preserve"/>
      </w:r>
    </w:p>
    <w:p>
      <w:pPr>
        <w:pStyle w:val="Heading2"/>
        <w:spacing w:after="120" w:before="280"/>
      </w:pPr>
      <w:r>
        <w:rPr>
          <w:rFonts w:ascii="Arial" w:cs="Arial" w:eastAsia="Arial" w:hAnsi="Arial"/>
          <w:b/>
          <w:bCs/>
          <w:color w:val="2D6A4F"/>
          <w:sz w:val="28"/>
          <w:szCs w:val="28"/>
        </w:rPr>
        <w:t xml:space="preserve">3.1 Security Implementations — Category 1</w:t>
      </w:r>
    </w:p>
    <w:p>
      <w:r>
        <w:t xml:space="preserve"/>
      </w:r>
    </w:p>
    <w:p>
      <w:pPr>
        <w:spacing w:after="60" w:before="60"/>
        <w:jc w:val="left"/>
      </w:pPr>
      <w:r>
        <w:rPr>
          <w:rFonts w:ascii="Arial" w:cs="Arial" w:eastAsia="Arial" w:hAnsi="Arial"/>
          <w:color w:val="1A1A2E"/>
          <w:sz w:val="20"/>
          <w:szCs w:val="20"/>
        </w:rPr>
        <w:t xml:space="preserve">The following table details the specific security controls required for Category 1 personal data, how each must be implemented, and the priority level based on regulatory mandate and risk exposure.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60"/>
        <w:gridCol w:w="3500"/>
        <w:gridCol w:w="1500"/>
      </w:tblGrid>
      <w:tr>
        <w:trPr>
          <w:tblHeader/>
        </w:trPr>
        <w:tc>
          <w:tcPr>
            <w:tcW w:type="dxa" w:w="190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Control Area</w:t>
            </w:r>
          </w:p>
        </w:tc>
        <w:tc>
          <w:tcPr>
            <w:tcW w:type="dxa" w:w="246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Implementation</w:t>
            </w:r>
          </w:p>
        </w:tc>
        <w:tc>
          <w:tcPr>
            <w:tcW w:type="dxa" w:w="350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How To Perform</w:t>
            </w:r>
          </w:p>
        </w:tc>
        <w:tc>
          <w:tcPr>
            <w:tcW w:type="dxa" w:w="150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Priority</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2E"/>
                <w:sz w:val="17"/>
                <w:szCs w:val="17"/>
              </w:rPr>
              <w:t xml:space="preserve">Aadhaar Tokenisation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Store only masked/tokenised Aadhaar reference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Integrate with UIDAI-licensed KYC intermediary (bank/NBFC/DigiLocker). Store only the verification token (e.g., masked last 4 digits + verified flag). Never store full Aadhaar in MongoDB. Add schema-level validation rejecting 12-digit numeric strings.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C0392B"/>
                <w:sz w:val="17"/>
                <w:szCs w:val="17"/>
              </w:rPr>
              <w:t xml:space="preserve">Critical</w:t>
            </w:r>
          </w:p>
        </w:tc>
      </w:tr>
      <w:tr>
        <w:tc>
          <w:tcPr>
            <w:tcW w:type="dxa" w:w="19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1A1A2E"/>
                <w:sz w:val="17"/>
                <w:szCs w:val="17"/>
              </w:rPr>
              <w:t xml:space="preserve">Encryption at Rest</w:t>
            </w:r>
          </w:p>
        </w:tc>
        <w:tc>
          <w:tcPr>
            <w:tcW w:type="dxa" w:w="24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AES-256-GCM for SPDI fields</w:t>
            </w:r>
          </w:p>
        </w:tc>
        <w:tc>
          <w:tcPr>
            <w:tcW w:type="dxa" w:w="3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Apply field-level encryption in MongoDB using Mongoose pre-save hooks for bank account, IFSC, PAN ref fields. Use AWS KMS or Azure Key Vault for key management. Rotate keys annually.</w:t>
            </w:r>
          </w:p>
        </w:tc>
        <w:tc>
          <w:tcPr>
            <w:tcW w:type="dxa" w:w="1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C0392B"/>
                <w:sz w:val="17"/>
                <w:szCs w:val="17"/>
              </w:rPr>
              <w:t xml:space="preserve">Critical</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2E"/>
                <w:sz w:val="17"/>
                <w:szCs w:val="17"/>
              </w:rPr>
              <w:t xml:space="preserve">Encryption in Transit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TLS 1.2+ for all API endpoints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Configure HTTPS with TLS 1.2 minimum on all Express routes. Set HSTS headers (max-age=31536000). Disable SSLv3 and TLS 1.0/1.1 in server config.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C0392B"/>
                <w:sz w:val="17"/>
                <w:szCs w:val="17"/>
              </w:rPr>
              <w:t xml:space="preserve">Critical</w:t>
            </w:r>
          </w:p>
        </w:tc>
      </w:tr>
      <w:tr>
        <w:tc>
          <w:tcPr>
            <w:tcW w:type="dxa" w:w="19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1A1A2E"/>
                <w:sz w:val="17"/>
                <w:szCs w:val="17"/>
              </w:rPr>
              <w:t xml:space="preserve">DPDP Consent Management</w:t>
            </w:r>
          </w:p>
        </w:tc>
        <w:tc>
          <w:tcPr>
            <w:tcW w:type="dxa" w:w="24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Granular consent per data type and purpose</w:t>
            </w:r>
          </w:p>
        </w:tc>
        <w:tc>
          <w:tcPr>
            <w:tcW w:type="dxa" w:w="3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Build a consent module capturing: data type, purpose, timestamp, IP, and user ID. Store in immutable consent_logs collection. Provide separate opt-in for Aadhaar KYC, bank details, and location data.</w:t>
            </w:r>
          </w:p>
        </w:tc>
        <w:tc>
          <w:tcPr>
            <w:tcW w:type="dxa" w:w="1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C0392B"/>
                <w:sz w:val="17"/>
                <w:szCs w:val="17"/>
              </w:rPr>
              <w:t xml:space="preserve">Critical</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2E"/>
                <w:sz w:val="17"/>
                <w:szCs w:val="17"/>
              </w:rPr>
              <w:t xml:space="preserve">Role-Based Access Control</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No cross-user data access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Implement RBAC middleware in Express. Farmers access only own records (filter by farmer_id). Buyers access only own orders. Admin access requires MFA + audit log entry. Never expose user IDs in URLs without HMAC verification.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C0392B"/>
                <w:sz w:val="17"/>
                <w:szCs w:val="17"/>
              </w:rPr>
              <w:t xml:space="preserve">Critical</w:t>
            </w:r>
          </w:p>
        </w:tc>
      </w:tr>
      <w:tr>
        <w:tc>
          <w:tcPr>
            <w:tcW w:type="dxa" w:w="19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1A1A2E"/>
                <w:sz w:val="17"/>
                <w:szCs w:val="17"/>
              </w:rPr>
              <w:t xml:space="preserve">PII Masking in Logs</w:t>
            </w:r>
          </w:p>
        </w:tc>
        <w:tc>
          <w:tcPr>
            <w:tcW w:type="dxa" w:w="24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No personal data in application logs</w:t>
            </w:r>
          </w:p>
        </w:tc>
        <w:tc>
          <w:tcPr>
            <w:tcW w:type="dxa" w:w="3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Use Pino or Winston with a custom redaction plugin masking fields: phone, email, aadhaar_ref, bank_account, pan_ref. Implement regex scrubbing for 10-digit phone patterns and 12-digit Aadhaar patterns in log output.</w:t>
            </w:r>
          </w:p>
        </w:tc>
        <w:tc>
          <w:tcPr>
            <w:tcW w:type="dxa" w:w="1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B7600A"/>
                <w:sz w:val="17"/>
                <w:szCs w:val="17"/>
              </w:rPr>
              <w:t xml:space="preserve">High</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2E"/>
                <w:sz w:val="17"/>
                <w:szCs w:val="17"/>
              </w:rPr>
              <w:t xml:space="preserve">CERT-In Log Retention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Maintain logs for 180 days minimum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Configure log rotation with 180-day retention in CloudWatch, Datadog, or Elasticsearch. Enable NTP clock synchronisation on all servers (requirement under CERT-In 2022 Directions).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B7600A"/>
                <w:sz w:val="17"/>
                <w:szCs w:val="17"/>
              </w:rPr>
              <w:t xml:space="preserve">High</w:t>
            </w:r>
          </w:p>
        </w:tc>
      </w:tr>
      <w:tr>
        <w:tc>
          <w:tcPr>
            <w:tcW w:type="dxa" w:w="19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1A1A2E"/>
                <w:sz w:val="17"/>
                <w:szCs w:val="17"/>
              </w:rPr>
              <w:t xml:space="preserve">Payment Data Isolation</w:t>
            </w:r>
          </w:p>
        </w:tc>
        <w:tc>
          <w:tcPr>
            <w:tcW w:type="dxa" w:w="24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No card/UPI data on platform servers</w:t>
            </w:r>
          </w:p>
        </w:tc>
        <w:tc>
          <w:tcPr>
            <w:tcW w:type="dxa" w:w="3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Route all payments through RBI-licensed Payment Aggregator (Razorpay, Cashfree, etc.). Never store CVV, full card numbers, or UPI PINs. Use tokenised payment references only. Sign Payment Aggregator DPA.</w:t>
            </w:r>
          </w:p>
        </w:tc>
        <w:tc>
          <w:tcPr>
            <w:tcW w:type="dxa" w:w="1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C0392B"/>
                <w:sz w:val="17"/>
                <w:szCs w:val="17"/>
              </w:rPr>
              <w:t xml:space="preserve">Critical</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2E"/>
                <w:sz w:val="17"/>
                <w:szCs w:val="17"/>
              </w:rPr>
              <w:t xml:space="preserve">Data Minimisation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Collect only what is needed per purpose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Audit each registration form field against its stated purpose. Remove optional fields not needed for core function. Apply purpose binding in API layer — KYC endpoint only exposes KYC-necessary fields.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B7600A"/>
                <w:sz w:val="17"/>
                <w:szCs w:val="17"/>
              </w:rPr>
              <w:t xml:space="preserve">High</w:t>
            </w:r>
          </w:p>
        </w:tc>
      </w:tr>
      <w:tr>
        <w:tc>
          <w:tcPr>
            <w:tcW w:type="dxa" w:w="19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1A1A2E"/>
                <w:sz w:val="17"/>
                <w:szCs w:val="17"/>
              </w:rPr>
              <w:t xml:space="preserve">Right to Erasure</w:t>
            </w:r>
          </w:p>
        </w:tc>
        <w:tc>
          <w:tcPr>
            <w:tcW w:type="dxa" w:w="24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DPDP Act — data deletion on request</w:t>
            </w:r>
          </w:p>
        </w:tc>
        <w:tc>
          <w:tcPr>
            <w:tcW w:type="dxa" w:w="3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Build a deletion API that removes or anonymises personal data within 30 days of request. Implement soft-delete first (flag deleted=true), then hard-delete after 30 days. Exclude data required for legal retention (tax records, RBI mandates).</w:t>
            </w:r>
          </w:p>
        </w:tc>
        <w:tc>
          <w:tcPr>
            <w:tcW w:type="dxa" w:w="1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B7600A"/>
                <w:sz w:val="17"/>
                <w:szCs w:val="17"/>
              </w:rPr>
              <w:t xml:space="preserve">High</w:t>
            </w:r>
          </w:p>
        </w:tc>
      </w:tr>
    </w:tbl>
    <w:p>
      <w:r>
        <w:t xml:space="preserve"/>
      </w:r>
    </w:p>
    <w:p>
      <w:r>
        <w:t xml:space="preserve"/>
      </w:r>
    </w:p>
    <w:p>
      <w:r>
        <w:br w:type="page"/>
      </w:r>
    </w:p>
    <w:p>
      <w:pPr>
        <w:pStyle w:val="Heading1"/>
        <w:spacing w:after="160" w:before="360"/>
      </w:pPr>
      <w:r>
        <w:rPr>
          <w:rFonts w:ascii="Arial" w:cs="Arial" w:eastAsia="Arial" w:hAnsi="Arial"/>
          <w:b/>
          <w:bCs/>
          <w:color w:val="1B4332"/>
          <w:sz w:val="36"/>
          <w:szCs w:val="36"/>
        </w:rPr>
        <w:t xml:space="preserve">4. Data Inventory — Category 2: Farm Intelligence Data (Precision Agriculture Layer)</w:t>
      </w:r>
    </w:p>
    <w:p>
      <w:pPr>
        <w:pBdr>
          <w:bottom w:val="single" w:color="52B788" w:sz="6" w:space="1"/>
        </w:pBdr>
        <w:spacing w:after="60" w:before="60"/>
      </w:pPr>
      <w:r>
        <w:t xml:space="preserve"/>
      </w:r>
    </w:p>
    <w:p>
      <w:r>
        <w:t xml:space="preserve"/>
      </w:r>
    </w:p>
    <w:p>
      <w:pPr>
        <w:spacing w:after="60" w:before="60"/>
        <w:jc w:val="left"/>
      </w:pPr>
      <w:r>
        <w:rPr>
          <w:rFonts w:ascii="Arial" w:cs="Arial" w:eastAsia="Arial" w:hAnsi="Arial"/>
          <w:color w:val="1A1A2E"/>
          <w:sz w:val="20"/>
          <w:szCs w:val="20"/>
        </w:rPr>
        <w:t xml:space="preserve">Category 2 covers the precision agriculture data layer — the digital twin representations of farms created by Eartigo through satellite imagery, drone operations, IoT sensors, and AI/ML models. This data type is unique to Eartigo and carries commercial, legal, and livelihood implications for farmers.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D4A017" w:sz="1"/>
              <w:left w:val="single" w:color="D4A017" w:sz="12"/>
              <w:bottom w:val="single" w:color="D4A017" w:sz="1"/>
              <w:right w:val="single" w:color="D4A017" w:sz="1"/>
            </w:tcBorders>
            <w:shd w:fill="FEF9E7" w:val="clear"/>
            <w:tcMar>
              <w:top w:type="dxa" w:w="120"/>
              <w:left w:type="dxa" w:w="200"/>
              <w:bottom w:type="dxa" w:w="120"/>
              <w:right w:type="dxa" w:w="200"/>
            </w:tcMar>
          </w:tcPr>
          <w:p>
            <w:r>
              <w:rPr>
                <w:rFonts w:ascii="Arial" w:cs="Arial" w:eastAsia="Arial" w:hAnsi="Arial"/>
                <w:b/>
                <w:bCs/>
                <w:color w:val="D4A017"/>
                <w:sz w:val="19"/>
                <w:szCs w:val="19"/>
              </w:rPr>
              <w:t xml:space="preserve">FARM DATA WARNING:  </w:t>
            </w:r>
            <w:r>
              <w:rPr>
                <w:rFonts w:ascii="Arial" w:cs="Arial" w:eastAsia="Arial" w:hAnsi="Arial"/>
                <w:color w:val="1A1A2E"/>
                <w:sz w:val="19"/>
                <w:szCs w:val="19"/>
              </w:rPr>
              <w:t xml:space="preserve">Farm boundary GPS coordinates combined with AI yield estimates constitute commercially sensitive data equivalent to financial data. This data can affect land valuation, insurance premiums, and commodity pricing. Treat with the same controls as financial PII.</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680"/>
        <w:gridCol w:w="1440"/>
        <w:gridCol w:w="1320"/>
        <w:gridCol w:w="2040"/>
      </w:tblGrid>
      <w:tr>
        <w:trPr>
          <w:tblHeader/>
        </w:trPr>
        <w:tc>
          <w:tcPr>
            <w:tcW w:type="dxa" w:w="144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Data Type</w:t>
            </w:r>
          </w:p>
        </w:tc>
        <w:tc>
          <w:tcPr>
            <w:tcW w:type="dxa" w:w="144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Source</w:t>
            </w:r>
          </w:p>
        </w:tc>
        <w:tc>
          <w:tcPr>
            <w:tcW w:type="dxa" w:w="168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Purpose</w:t>
            </w:r>
          </w:p>
        </w:tc>
        <w:tc>
          <w:tcPr>
            <w:tcW w:type="dxa" w:w="144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Legal Framework</w:t>
            </w:r>
          </w:p>
        </w:tc>
        <w:tc>
          <w:tcPr>
            <w:tcW w:type="dxa" w:w="132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Sensitivity</w:t>
            </w:r>
          </w:p>
        </w:tc>
        <w:tc>
          <w:tcPr>
            <w:tcW w:type="dxa" w:w="204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Storage &amp; Access Control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Farm boundary polygons (GPS)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Farmer input / drone mapping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Digital twin creation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Land record overlap; farmer consent essential</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C0392B"/>
                <w:sz w:val="17"/>
                <w:szCs w:val="17"/>
              </w:rPr>
              <w:t xml:space="preserve">Very High</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Encrypted MongoDB + S3; farmer-only read; no third-party sharing without explicit consent</w:t>
            </w:r>
          </w:p>
        </w:tc>
      </w:tr>
      <w:tr>
        <w:tc>
          <w:tcPr>
            <w:tcW w:type="dxa" w:w="14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Satellite imagery (multi-spectral)</w:t>
            </w:r>
          </w:p>
        </w:tc>
        <w:tc>
          <w:tcPr>
            <w:tcW w:type="dxa" w:w="14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Third-party satellite vendor</w:t>
            </w:r>
          </w:p>
        </w:tc>
        <w:tc>
          <w:tcPr>
            <w:tcW w:type="dxa" w:w="16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Crop health, NDVI, stress detection</w:t>
            </w:r>
          </w:p>
        </w:tc>
        <w:tc>
          <w:tcPr>
            <w:tcW w:type="dxa" w:w="14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Remote Sensing Data Policy 2011 applies</w:t>
            </w:r>
          </w:p>
        </w:tc>
        <w:tc>
          <w:tcPr>
            <w:tcW w:type="dxa" w:w="13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B7600A"/>
                <w:sz w:val="17"/>
                <w:szCs w:val="17"/>
              </w:rPr>
              <w:t xml:space="preserve">High</w:t>
            </w:r>
          </w:p>
        </w:tc>
        <w:tc>
          <w:tcPr>
            <w:tcW w:type="dxa" w:w="20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S3 private bucket; vendor DPA required; imagery &lt;1m resolution needs central govt approval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Drone imagery &amp; video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Operator drone flights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Ground-truth, pest detection, row-level analysis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Drone Rules 2021; no-fly zone compliance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B7600A"/>
                <w:sz w:val="17"/>
                <w:szCs w:val="17"/>
              </w:rPr>
              <w:t xml:space="preserve">High</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Encrypted S3; access logged; operator registration verified before upload</w:t>
            </w:r>
          </w:p>
        </w:tc>
      </w:tr>
      <w:tr>
        <w:tc>
          <w:tcPr>
            <w:tcW w:type="dxa" w:w="14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IoT sensor data</w:t>
            </w:r>
          </w:p>
        </w:tc>
        <w:tc>
          <w:tcPr>
            <w:tcW w:type="dxa" w:w="14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Soil sensors, weather stations</w:t>
            </w:r>
          </w:p>
        </w:tc>
        <w:tc>
          <w:tcPr>
            <w:tcW w:type="dxa" w:w="16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Soil moisture, temperature, humidity</w:t>
            </w:r>
          </w:p>
        </w:tc>
        <w:tc>
          <w:tcPr>
            <w:tcW w:type="dxa" w:w="14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Farmer consent; data linked to specific farm</w:t>
            </w:r>
          </w:p>
        </w:tc>
        <w:tc>
          <w:tcPr>
            <w:tcW w:type="dxa" w:w="13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1A5276"/>
                <w:sz w:val="17"/>
                <w:szCs w:val="17"/>
              </w:rPr>
              <w:t xml:space="preserve">Medium</w:t>
            </w:r>
          </w:p>
        </w:tc>
        <w:tc>
          <w:tcPr>
            <w:tcW w:type="dxa" w:w="20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Time-series DB; farm-scoped API access; aggregated analytics only for third parties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Crop health assessments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AI/ML model output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Pest/disease alerts, yield prediction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Must NOT be used for discriminatory insurance pricing without consent</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B7600A"/>
                <w:sz w:val="17"/>
                <w:szCs w:val="17"/>
              </w:rPr>
              <w:t xml:space="preserve">High</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Internal DB; RBAC restricted; no insurance/commodity sharing without opt-in</w:t>
            </w:r>
          </w:p>
        </w:tc>
      </w:tr>
      <w:tr>
        <w:tc>
          <w:tcPr>
            <w:tcW w:type="dxa" w:w="14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Historical yield estimates</w:t>
            </w:r>
          </w:p>
        </w:tc>
        <w:tc>
          <w:tcPr>
            <w:tcW w:type="dxa" w:w="14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Platform analytics over time</w:t>
            </w:r>
          </w:p>
        </w:tc>
        <w:tc>
          <w:tcPr>
            <w:tcW w:type="dxa" w:w="16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Trend analysis, advisory</w:t>
            </w:r>
          </w:p>
        </w:tc>
        <w:tc>
          <w:tcPr>
            <w:tcW w:type="dxa" w:w="14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Highly commercially sensitive — farmer proprietary</w:t>
            </w:r>
          </w:p>
        </w:tc>
        <w:tc>
          <w:tcPr>
            <w:tcW w:type="dxa" w:w="13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C0392B"/>
                <w:sz w:val="17"/>
                <w:szCs w:val="17"/>
              </w:rPr>
              <w:t xml:space="preserve">Very High</w:t>
            </w:r>
          </w:p>
        </w:tc>
        <w:tc>
          <w:tcPr>
            <w:tcW w:type="dxa" w:w="20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Encrypted at rest; farmer owns data; deletion on request; no commercial resale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Pest/disease incident logs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Platform reporting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Advisory, government reporting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Potential overlap with phytosanitary regulations</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5276"/>
                <w:sz w:val="17"/>
                <w:szCs w:val="17"/>
              </w:rPr>
              <w:t xml:space="preserve">Medium</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Anonymised before govt reporting; raw logs farmer-restricted</w:t>
            </w:r>
          </w:p>
        </w:tc>
      </w:tr>
    </w:tbl>
    <w:p>
      <w:r>
        <w:t xml:space="preserve"/>
      </w:r>
    </w:p>
    <w:p>
      <w:r>
        <w:t xml:space="preserve"/>
      </w:r>
    </w:p>
    <w:p>
      <w:pPr>
        <w:pStyle w:val="Heading2"/>
        <w:spacing w:after="120" w:before="280"/>
      </w:pPr>
      <w:r>
        <w:rPr>
          <w:rFonts w:ascii="Arial" w:cs="Arial" w:eastAsia="Arial" w:hAnsi="Arial"/>
          <w:b/>
          <w:bCs/>
          <w:color w:val="2D6A4F"/>
          <w:sz w:val="28"/>
          <w:szCs w:val="28"/>
        </w:rPr>
        <w:t xml:space="preserve">4.1 Security Implementations — Category 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60"/>
        <w:gridCol w:w="3500"/>
        <w:gridCol w:w="1500"/>
      </w:tblGrid>
      <w:tr>
        <w:trPr>
          <w:tblHeader/>
        </w:trPr>
        <w:tc>
          <w:tcPr>
            <w:tcW w:type="dxa" w:w="190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Control Area</w:t>
            </w:r>
          </w:p>
        </w:tc>
        <w:tc>
          <w:tcPr>
            <w:tcW w:type="dxa" w:w="246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Implementation</w:t>
            </w:r>
          </w:p>
        </w:tc>
        <w:tc>
          <w:tcPr>
            <w:tcW w:type="dxa" w:w="350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How To Perform</w:t>
            </w:r>
          </w:p>
        </w:tc>
        <w:tc>
          <w:tcPr>
            <w:tcW w:type="dxa" w:w="150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Priority</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2E"/>
                <w:sz w:val="17"/>
                <w:szCs w:val="17"/>
              </w:rPr>
              <w:t xml:space="preserve">GPS Boundary Encryption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Encrypt farm polygon coordinates at rest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Store GPS coordinates using AES-256-GCM field encryption in MongoDB. Never expose raw boundary GeoJSON in public APIs. Serve only through authenticated, farmer-scoped endpoints. Add IP rate limiting on location APIs.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C0392B"/>
                <w:sz w:val="17"/>
                <w:szCs w:val="17"/>
              </w:rPr>
              <w:t xml:space="preserve">Critical</w:t>
            </w:r>
          </w:p>
        </w:tc>
      </w:tr>
      <w:tr>
        <w:tc>
          <w:tcPr>
            <w:tcW w:type="dxa" w:w="19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1A1A2E"/>
                <w:sz w:val="17"/>
                <w:szCs w:val="17"/>
              </w:rPr>
              <w:t xml:space="preserve">S3 Private Bucket Policy</w:t>
            </w:r>
          </w:p>
        </w:tc>
        <w:tc>
          <w:tcPr>
            <w:tcW w:type="dxa" w:w="24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All imagery stored in private S3 buckets</w:t>
            </w:r>
          </w:p>
        </w:tc>
        <w:tc>
          <w:tcPr>
            <w:tcW w:type="dxa" w:w="3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Create dedicated S3 bucket (eartigo-farm-intelligence) with Block Public Access enabled. Use pre-signed URLs (15-minute expiry) for farmer access. Deny s3:GetObject for all principals except platform service role. Enable S3 server-side encryption (SSE-S3 or SSE-KMS).</w:t>
            </w:r>
          </w:p>
        </w:tc>
        <w:tc>
          <w:tcPr>
            <w:tcW w:type="dxa" w:w="1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C0392B"/>
                <w:sz w:val="17"/>
                <w:szCs w:val="17"/>
              </w:rPr>
              <w:t xml:space="preserve">Critical</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2E"/>
                <w:sz w:val="17"/>
                <w:szCs w:val="17"/>
              </w:rPr>
              <w:t xml:space="preserve">Drone Operator Verification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Verify DGCA registration before accepting imagery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Build a pre-upload check requiring Drone Rules 2021 operator UIN (Unique Identification Number). Store operator_uin in drone_flights collection. Reject uploads from unregistered operators. Log all flight uploads with timestamp and location bounding box.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C0392B"/>
                <w:sz w:val="17"/>
                <w:szCs w:val="17"/>
              </w:rPr>
              <w:t xml:space="preserve">Critical</w:t>
            </w:r>
          </w:p>
        </w:tc>
      </w:tr>
      <w:tr>
        <w:tc>
          <w:tcPr>
            <w:tcW w:type="dxa" w:w="19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1A1A2E"/>
                <w:sz w:val="17"/>
                <w:szCs w:val="17"/>
              </w:rPr>
              <w:t xml:space="preserve">Satellite Vendor DPA</w:t>
            </w:r>
          </w:p>
        </w:tc>
        <w:tc>
          <w:tcPr>
            <w:tcW w:type="dxa" w:w="24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Third-party vendor data processing agreement</w:t>
            </w:r>
          </w:p>
        </w:tc>
        <w:tc>
          <w:tcPr>
            <w:tcW w:type="dxa" w:w="3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Require satellite imagery vendors to sign a Data Processing Agreement covering: India-region data residency, no sub-processing without notice, RSDP 2011 compliance, and deletion on contract end. Confirm high-resolution imagery (&lt;1m) licensing compliance.</w:t>
            </w:r>
          </w:p>
        </w:tc>
        <w:tc>
          <w:tcPr>
            <w:tcW w:type="dxa" w:w="1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B7600A"/>
                <w:sz w:val="17"/>
                <w:szCs w:val="17"/>
              </w:rPr>
              <w:t xml:space="preserve">High</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2E"/>
                <w:sz w:val="17"/>
                <w:szCs w:val="17"/>
              </w:rPr>
              <w:t xml:space="preserve">AI Model Output Access Control</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Restrict crop health assessments to farmer only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Scope all AI model output queries by farm_id. Implement API middleware that validates requesting user owns the farm_id in query. Never include yield estimates in aggregated, shareable reports without farmer opt-in. Log every access to crop health data.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C0392B"/>
                <w:sz w:val="17"/>
                <w:szCs w:val="17"/>
              </w:rPr>
              <w:t xml:space="preserve">Critical</w:t>
            </w:r>
          </w:p>
        </w:tc>
      </w:tr>
      <w:tr>
        <w:tc>
          <w:tcPr>
            <w:tcW w:type="dxa" w:w="19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1A1A2E"/>
                <w:sz w:val="17"/>
                <w:szCs w:val="17"/>
              </w:rPr>
              <w:t xml:space="preserve">No-Fly Zone Compliance Check</w:t>
            </w:r>
          </w:p>
        </w:tc>
        <w:tc>
          <w:tcPr>
            <w:tcW w:type="dxa" w:w="24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Validate drone flight coordinates before processing</w:t>
            </w:r>
          </w:p>
        </w:tc>
        <w:tc>
          <w:tcPr>
            <w:tcW w:type="dxa" w:w="3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Integrate DGCA no-fly zone API or maintain local boundary GeoJSON. Run spatial intersection check on uploaded drone coordinates before processing imagery. Reject and flag uploads that intersect prohibited zones.</w:t>
            </w:r>
          </w:p>
        </w:tc>
        <w:tc>
          <w:tcPr>
            <w:tcW w:type="dxa" w:w="1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B7600A"/>
                <w:sz w:val="17"/>
                <w:szCs w:val="17"/>
              </w:rPr>
              <w:t xml:space="preserve">High</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2E"/>
                <w:sz w:val="17"/>
                <w:szCs w:val="17"/>
              </w:rPr>
              <w:t xml:space="preserve">IoT Data Farm-Scoping</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Sensor data access limited to farm owner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Each IoT reading document in MongoDB must include farm_id and farmer_id. API middleware must validate the requesting user's farmer_id matches the document's farmer_id. Aggregated crop-zone analytics (for internal use) must strip farm_id before processing.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B7600A"/>
                <w:sz w:val="17"/>
                <w:szCs w:val="17"/>
              </w:rPr>
              <w:t xml:space="preserve">High</w:t>
            </w:r>
          </w:p>
        </w:tc>
      </w:tr>
      <w:tr>
        <w:tc>
          <w:tcPr>
            <w:tcW w:type="dxa" w:w="19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1A1A2E"/>
                <w:sz w:val="17"/>
                <w:szCs w:val="17"/>
              </w:rPr>
              <w:t xml:space="preserve">Farmer Data Ownership &amp; Deletion</w:t>
            </w:r>
          </w:p>
        </w:tc>
        <w:tc>
          <w:tcPr>
            <w:tcW w:type="dxa" w:w="24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Farmer can request deletion of all farm intel</w:t>
            </w:r>
          </w:p>
        </w:tc>
        <w:tc>
          <w:tcPr>
            <w:tcW w:type="dxa" w:w="3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Implement a farm-data deletion pipeline that removes: GPS polygons, satellite imagery references in DB, drone upload records, IoT readings, and AI assessment history. Honour deletion within 30 days. Retain anonymised aggregate data only if farmer explicitly consents.</w:t>
            </w:r>
          </w:p>
        </w:tc>
        <w:tc>
          <w:tcPr>
            <w:tcW w:type="dxa" w:w="1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B7600A"/>
                <w:sz w:val="17"/>
                <w:szCs w:val="17"/>
              </w:rPr>
              <w:t xml:space="preserve">High</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2E"/>
                <w:sz w:val="17"/>
                <w:szCs w:val="17"/>
              </w:rPr>
              <w:t xml:space="preserve">Phytosanitary Report Anonymisation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Remove farm identity before govt reporting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Build a data export pipeline for pest/disease incident logs that replaces farm_id and farmer_id with a region-level aggregate before submitting to government databases. Never include GPS coordinates in government reports without legal mandate.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5276"/>
                <w:sz w:val="17"/>
                <w:szCs w:val="17"/>
              </w:rPr>
              <w:t xml:space="preserve">Medium</w:t>
            </w:r>
          </w:p>
        </w:tc>
      </w:tr>
      <w:tr>
        <w:tc>
          <w:tcPr>
            <w:tcW w:type="dxa" w:w="19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1A1A2E"/>
                <w:sz w:val="17"/>
                <w:szCs w:val="17"/>
              </w:rPr>
              <w:t xml:space="preserve">Commercially Sensitive Data Labelling</w:t>
            </w:r>
          </w:p>
        </w:tc>
        <w:tc>
          <w:tcPr>
            <w:tcW w:type="dxa" w:w="24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Tag yield estimates as proprietary</w:t>
            </w:r>
          </w:p>
        </w:tc>
        <w:tc>
          <w:tcPr>
            <w:tcW w:type="dxa" w:w="3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Add data_classification: 'farmer_proprietary' field to all Historical Yield Estimate documents. Implement DLP (Data Loss Prevention) checks in the export API layer to block bulk export of classified records. Audit log every export of classified data.</w:t>
            </w:r>
          </w:p>
        </w:tc>
        <w:tc>
          <w:tcPr>
            <w:tcW w:type="dxa" w:w="1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B7600A"/>
                <w:sz w:val="17"/>
                <w:szCs w:val="17"/>
              </w:rPr>
              <w:t xml:space="preserve">High</w:t>
            </w:r>
          </w:p>
        </w:tc>
      </w:tr>
    </w:tbl>
    <w:p>
      <w:r>
        <w:t xml:space="preserve"/>
      </w:r>
    </w:p>
    <w:p>
      <w:r>
        <w:t xml:space="preserve"/>
      </w:r>
    </w:p>
    <w:p>
      <w:r>
        <w:br w:type="page"/>
      </w:r>
    </w:p>
    <w:p>
      <w:pPr>
        <w:pStyle w:val="Heading1"/>
        <w:spacing w:after="160" w:before="360"/>
      </w:pPr>
      <w:r>
        <w:rPr>
          <w:rFonts w:ascii="Arial" w:cs="Arial" w:eastAsia="Arial" w:hAnsi="Arial"/>
          <w:b/>
          <w:bCs/>
          <w:color w:val="1B4332"/>
          <w:sz w:val="36"/>
          <w:szCs w:val="36"/>
        </w:rPr>
        <w:t xml:space="preserve">5. Data Inventory Goals — Eight-Question Compliance Matrix</w:t>
      </w:r>
    </w:p>
    <w:p>
      <w:pPr>
        <w:pBdr>
          <w:bottom w:val="single" w:color="52B788" w:sz="6" w:space="1"/>
        </w:pBdr>
        <w:spacing w:after="60" w:before="60"/>
      </w:pPr>
      <w:r>
        <w:t xml:space="preserve"/>
      </w:r>
    </w:p>
    <w:p>
      <w:r>
        <w:t xml:space="preserve"/>
      </w:r>
    </w:p>
    <w:p>
      <w:pPr>
        <w:spacing w:after="60" w:before="60"/>
        <w:jc w:val="left"/>
      </w:pPr>
      <w:r>
        <w:rPr>
          <w:rFonts w:ascii="Arial" w:cs="Arial" w:eastAsia="Arial" w:hAnsi="Arial"/>
          <w:color w:val="1A1A2E"/>
          <w:sz w:val="20"/>
          <w:szCs w:val="20"/>
        </w:rPr>
        <w:t xml:space="preserve">This matrix answers the eight mandatory Data Inventory Questions defined in the internship brief for both data categories simultaneously. Use this as a quick-reference compliance checklist.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Inventory Question</w:t>
            </w:r>
          </w:p>
        </w:tc>
        <w:tc>
          <w:tcPr>
            <w:tcW w:type="dxa" w:w="368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Category 1 — Personal Data</w:t>
            </w:r>
          </w:p>
        </w:tc>
        <w:tc>
          <w:tcPr>
            <w:tcW w:type="dxa" w:w="368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Category 2 — Farm Intelligence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D6A4F"/>
                <w:sz w:val="17"/>
                <w:szCs w:val="17"/>
              </w:rPr>
              <w:t xml:space="preserve">What data is collected?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Name, phone, Aadhaar ref, bank details, GSTIN, order records, clickstream</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GPS polygons, satellite NDVI imagery, drone video, IoT readings, AI yield estimates</w:t>
            </w:r>
          </w:p>
        </w:tc>
      </w:tr>
      <w:tr>
        <w:tc>
          <w:tcPr>
            <w:tcW w:type="dxa" w:w="2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2D6A4F"/>
                <w:sz w:val="17"/>
                <w:szCs w:val="17"/>
              </w:rPr>
              <w:t xml:space="preserve">Why is it collected? (purpose)</w:t>
            </w:r>
          </w:p>
        </w:tc>
        <w:tc>
          <w:tcPr>
            <w:tcW w:type="dxa" w:w="36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KYC, payments, logistics, product improvement, compliance</w:t>
            </w:r>
          </w:p>
        </w:tc>
        <w:tc>
          <w:tcPr>
            <w:tcW w:type="dxa" w:w="36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Digital twin, crop health monitoring, pest advisory, government agri reporting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D6A4F"/>
                <w:sz w:val="17"/>
                <w:szCs w:val="17"/>
              </w:rPr>
              <w:t xml:space="preserve">Where is it stored?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MongoDB Atlas (primary); S3 for documents/photos; payment data at PA</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S3 encrypted buckets (imagery); MongoDB time-series (IoT); AI inference layer</w:t>
            </w:r>
          </w:p>
        </w:tc>
      </w:tr>
      <w:tr>
        <w:tc>
          <w:tcPr>
            <w:tcW w:type="dxa" w:w="2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2D6A4F"/>
                <w:sz w:val="17"/>
                <w:szCs w:val="17"/>
              </w:rPr>
              <w:t xml:space="preserve">Who can access it?</w:t>
            </w:r>
          </w:p>
        </w:tc>
        <w:tc>
          <w:tcPr>
            <w:tcW w:type="dxa" w:w="36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Farmer: own data only. Buyer: own orders. Admin: via RBAC. No cross-user access.</w:t>
            </w:r>
          </w:p>
        </w:tc>
        <w:tc>
          <w:tcPr>
            <w:tcW w:type="dxa" w:w="36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Farmer: own farm only. Agri-scientist: anonymised aggregates. Admin: audit logs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D6A4F"/>
                <w:sz w:val="17"/>
                <w:szCs w:val="17"/>
              </w:rPr>
              <w:t xml:space="preserve">How long is it retained?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KYC/payout: 7 yrs. Orders: 7 yrs. Analytics: 12 months. Support: 3 yrs.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Imagery: 2 years or farmer request. IoT raw: 1 year. Yield estimates: farmer-controlled.</w:t>
            </w:r>
          </w:p>
        </w:tc>
      </w:tr>
      <w:tr>
        <w:tc>
          <w:tcPr>
            <w:tcW w:type="dxa" w:w="2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2D6A4F"/>
                <w:sz w:val="17"/>
                <w:szCs w:val="17"/>
              </w:rPr>
              <w:t xml:space="preserve">Is it shared with third parties?</w:t>
            </w:r>
          </w:p>
        </w:tc>
        <w:tc>
          <w:tcPr>
            <w:tcW w:type="dxa" w:w="36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Payment Aggregator (RBI licensed), KYC intermediary, logistics; under DPA</w:t>
            </w:r>
          </w:p>
        </w:tc>
        <w:tc>
          <w:tcPr>
            <w:tcW w:type="dxa" w:w="36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Satellite vendor (DPA required); govt anonymised reports; NO commercial resale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D6A4F"/>
                <w:sz w:val="17"/>
                <w:szCs w:val="17"/>
              </w:rPr>
              <w:t xml:space="preserve">Does it cross India's borders?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Payment data: localised per RBI guidelines. Cloud infra must have India region.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Satellite vendor must confirm India-region data residency. Drone imagery: stored locally.</w:t>
            </w:r>
          </w:p>
        </w:tc>
      </w:tr>
      <w:tr>
        <w:tc>
          <w:tcPr>
            <w:tcW w:type="dxa" w:w="2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2D6A4F"/>
                <w:sz w:val="17"/>
                <w:szCs w:val="17"/>
              </w:rPr>
              <w:t xml:space="preserve">Is consent captured for this use?</w:t>
            </w:r>
          </w:p>
        </w:tc>
        <w:tc>
          <w:tcPr>
            <w:tcW w:type="dxa" w:w="36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DPDP-compliant consent at registration; separate consent for Aadhaar use</w:t>
            </w:r>
          </w:p>
        </w:tc>
        <w:tc>
          <w:tcPr>
            <w:tcW w:type="dxa" w:w="36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Explicit consent for GPS boundary capture, drone flights, and AI yield modelling</w:t>
            </w:r>
          </w:p>
        </w:tc>
      </w:tr>
    </w:tbl>
    <w:p>
      <w:r>
        <w:t xml:space="preserve"/>
      </w:r>
    </w:p>
    <w:p>
      <w:r>
        <w:t xml:space="preserve"/>
      </w:r>
    </w:p>
    <w:p>
      <w:r>
        <w:br w:type="page"/>
      </w:r>
    </w:p>
    <w:p>
      <w:pPr>
        <w:pStyle w:val="Heading1"/>
        <w:spacing w:after="160" w:before="360"/>
      </w:pPr>
      <w:r>
        <w:rPr>
          <w:rFonts w:ascii="Arial" w:cs="Arial" w:eastAsia="Arial" w:hAnsi="Arial"/>
          <w:b/>
          <w:bCs/>
          <w:color w:val="1B4332"/>
          <w:sz w:val="36"/>
          <w:szCs w:val="36"/>
        </w:rPr>
        <w:t xml:space="preserve">6. Cross-Cutting Security Implementations</w:t>
      </w:r>
    </w:p>
    <w:p>
      <w:pPr>
        <w:pBdr>
          <w:bottom w:val="single" w:color="52B788" w:sz="6" w:space="1"/>
        </w:pBdr>
        <w:spacing w:after="60" w:before="60"/>
      </w:pPr>
      <w:r>
        <w:t xml:space="preserve"/>
      </w:r>
    </w:p>
    <w:p>
      <w:r>
        <w:t xml:space="preserve"/>
      </w:r>
    </w:p>
    <w:p>
      <w:pPr>
        <w:spacing w:after="60" w:before="60"/>
        <w:jc w:val="left"/>
      </w:pPr>
      <w:r>
        <w:rPr>
          <w:rFonts w:ascii="Arial" w:cs="Arial" w:eastAsia="Arial" w:hAnsi="Arial"/>
          <w:color w:val="1A1A2E"/>
          <w:sz w:val="20"/>
          <w:szCs w:val="20"/>
        </w:rPr>
        <w:t xml:space="preserve">The following controls apply to both data categories and must be implemented at the platform infrastructure level.</w:t>
      </w:r>
    </w:p>
    <w:p>
      <w:r>
        <w:t xml:space="preserve"/>
      </w:r>
    </w:p>
    <w:p>
      <w:pPr>
        <w:pStyle w:val="Heading2"/>
        <w:spacing w:after="120" w:before="280"/>
      </w:pPr>
      <w:r>
        <w:rPr>
          <w:rFonts w:ascii="Arial" w:cs="Arial" w:eastAsia="Arial" w:hAnsi="Arial"/>
          <w:b/>
          <w:bCs/>
          <w:color w:val="2D6A4F"/>
          <w:sz w:val="28"/>
          <w:szCs w:val="28"/>
        </w:rPr>
        <w:t xml:space="preserve">6.1 Authentication &amp; Session Management</w:t>
      </w:r>
    </w:p>
    <w:p>
      <w:pPr>
        <w:pStyle w:val="ListParagraph"/>
        <w:numPr>
          <w:ilvl w:val="0"/>
          <w:numId w:val="2"/>
        </w:numPr>
        <w:spacing w:after="40" w:before="40"/>
      </w:pPr>
      <w:r>
        <w:rPr>
          <w:rFonts w:ascii="Arial" w:cs="Arial" w:eastAsia="Arial" w:hAnsi="Arial"/>
          <w:color w:val="1A1A2E"/>
          <w:sz w:val="19"/>
          <w:szCs w:val="19"/>
        </w:rPr>
        <w:t xml:space="preserve">Implement JWT with short expiry (15 minutes access token, 7-day refresh token stored in httpOnly cookie)</w:t>
      </w:r>
    </w:p>
    <w:p>
      <w:pPr>
        <w:pStyle w:val="ListParagraph"/>
        <w:numPr>
          <w:ilvl w:val="0"/>
          <w:numId w:val="2"/>
        </w:numPr>
        <w:spacing w:after="40" w:before="40"/>
      </w:pPr>
      <w:r>
        <w:rPr>
          <w:rFonts w:ascii="Arial" w:cs="Arial" w:eastAsia="Arial" w:hAnsi="Arial"/>
          <w:color w:val="1A1A2E"/>
          <w:sz w:val="19"/>
          <w:szCs w:val="19"/>
        </w:rPr>
        <w:t xml:space="preserve">Enforce MFA for all admin and agri-scientist accounts</w:t>
      </w:r>
    </w:p>
    <w:p>
      <w:pPr>
        <w:pStyle w:val="ListParagraph"/>
        <w:numPr>
          <w:ilvl w:val="0"/>
          <w:numId w:val="2"/>
        </w:numPr>
        <w:spacing w:after="40" w:before="40"/>
      </w:pPr>
      <w:r>
        <w:rPr>
          <w:rFonts w:ascii="Arial" w:cs="Arial" w:eastAsia="Arial" w:hAnsi="Arial"/>
          <w:color w:val="1A1A2E"/>
          <w:sz w:val="19"/>
          <w:szCs w:val="19"/>
        </w:rPr>
        <w:t xml:space="preserve">Rate limit login endpoint: 5 attempts per 15 minutes per IP</w:t>
      </w:r>
    </w:p>
    <w:p>
      <w:pPr>
        <w:pStyle w:val="ListParagraph"/>
        <w:numPr>
          <w:ilvl w:val="0"/>
          <w:numId w:val="2"/>
        </w:numPr>
        <w:spacing w:after="40" w:before="40"/>
      </w:pPr>
      <w:r>
        <w:rPr>
          <w:rFonts w:ascii="Arial" w:cs="Arial" w:eastAsia="Arial" w:hAnsi="Arial"/>
          <w:color w:val="1A1A2E"/>
          <w:sz w:val="19"/>
          <w:szCs w:val="19"/>
        </w:rPr>
        <w:t xml:space="preserve">Invalidate all sessions on password change or account deletion</w:t>
      </w:r>
    </w:p>
    <w:p>
      <w:r>
        <w:t xml:space="preserve"/>
      </w:r>
    </w:p>
    <w:p>
      <w:pPr>
        <w:spacing w:after="60" w:before="60"/>
        <w:jc w:val="left"/>
      </w:pPr>
      <w:r>
        <w:rPr>
          <w:rFonts w:ascii="Arial" w:cs="Arial" w:eastAsia="Arial" w:hAnsi="Arial"/>
          <w:color w:val="1A1A2E"/>
          <w:sz w:val="20"/>
          <w:szCs w:val="20"/>
        </w:rPr>
        <w:t xml:space="preserve">How to perform — Node.js/Express:</w:t>
      </w:r>
    </w:p>
    <w:p>
      <w:pPr>
        <w:shd w:fill="1E1E1E" w:val="clear"/>
        <w:spacing w:after="40" w:before="40"/>
      </w:pPr>
      <w:r>
        <w:rPr>
          <w:rFonts w:ascii="Courier New" w:cs="Courier New" w:eastAsia="Courier New" w:hAnsi="Courier New"/>
          <w:color w:val="00FF7F"/>
          <w:sz w:val="17"/>
          <w:szCs w:val="17"/>
        </w:rPr>
        <w:t xml:space="preserve">// JWT generation with short expiry</w:t>
      </w:r>
    </w:p>
    <w:p>
      <w:pPr>
        <w:shd w:fill="1E1E1E" w:val="clear"/>
        <w:spacing w:after="40" w:before="40"/>
      </w:pPr>
      <w:r>
        <w:rPr>
          <w:rFonts w:ascii="Courier New" w:cs="Courier New" w:eastAsia="Courier New" w:hAnsi="Courier New"/>
          <w:color w:val="00FF7F"/>
          <w:sz w:val="17"/>
          <w:szCs w:val="17"/>
        </w:rPr>
        <w:t xml:space="preserve">const token = jwt.sign({ userId, role }, process.env.JWT_SECRET, { expiresIn: '15m' });</w:t>
      </w:r>
    </w:p>
    <w:p>
      <w:pPr>
        <w:shd w:fill="1E1E1E" w:val="clear"/>
        <w:spacing w:after="40" w:before="40"/>
      </w:pPr>
      <w:r>
        <w:rPr>
          <w:rFonts w:ascii="Courier New" w:cs="Courier New" w:eastAsia="Courier New" w:hAnsi="Courier New"/>
          <w:color w:val="00FF7F"/>
          <w:sz w:val="17"/>
          <w:szCs w:val="17"/>
        </w:rPr>
        <w:t xml:space="preserve">// httpOnly cookie for refresh token</w:t>
      </w:r>
    </w:p>
    <w:p>
      <w:pPr>
        <w:shd w:fill="1E1E1E" w:val="clear"/>
        <w:spacing w:after="40" w:before="40"/>
      </w:pPr>
      <w:r>
        <w:rPr>
          <w:rFonts w:ascii="Courier New" w:cs="Courier New" w:eastAsia="Courier New" w:hAnsi="Courier New"/>
          <w:color w:val="00FF7F"/>
          <w:sz w:val="17"/>
          <w:szCs w:val="17"/>
        </w:rPr>
        <w:t xml:space="preserve">res.cookie('refresh_token', refreshToken, { httpOnly: true, secure: true, sameSite: 'Strict', maxAge: 7*24*60*60*1000 });</w:t>
      </w:r>
    </w:p>
    <w:p>
      <w:r>
        <w:t xml:space="preserve"/>
      </w:r>
    </w:p>
    <w:p>
      <w:pPr>
        <w:pStyle w:val="Heading2"/>
        <w:spacing w:after="120" w:before="280"/>
      </w:pPr>
      <w:r>
        <w:rPr>
          <w:rFonts w:ascii="Arial" w:cs="Arial" w:eastAsia="Arial" w:hAnsi="Arial"/>
          <w:b/>
          <w:bCs/>
          <w:color w:val="2D6A4F"/>
          <w:sz w:val="28"/>
          <w:szCs w:val="28"/>
        </w:rPr>
        <w:t xml:space="preserve">6.2 CERT-In Mandatory Logging (180-Day Retention)</w:t>
      </w:r>
    </w:p>
    <w:p>
      <w:pPr>
        <w:pStyle w:val="ListParagraph"/>
        <w:numPr>
          <w:ilvl w:val="0"/>
          <w:numId w:val="2"/>
        </w:numPr>
        <w:spacing w:after="40" w:before="40"/>
      </w:pPr>
      <w:r>
        <w:rPr>
          <w:rFonts w:ascii="Arial" w:cs="Arial" w:eastAsia="Arial" w:hAnsi="Arial"/>
          <w:color w:val="1A1A2E"/>
          <w:sz w:val="19"/>
          <w:szCs w:val="19"/>
        </w:rPr>
        <w:t xml:space="preserve">Log: login success/failure, data access, API calls, admin actions, file uploads, deletion events</w:t>
      </w:r>
    </w:p>
    <w:p>
      <w:pPr>
        <w:pStyle w:val="ListParagraph"/>
        <w:numPr>
          <w:ilvl w:val="0"/>
          <w:numId w:val="2"/>
        </w:numPr>
        <w:spacing w:after="40" w:before="40"/>
      </w:pPr>
      <w:r>
        <w:rPr>
          <w:rFonts w:ascii="Arial" w:cs="Arial" w:eastAsia="Arial" w:hAnsi="Arial"/>
          <w:color w:val="1A1A2E"/>
          <w:sz w:val="19"/>
          <w:szCs w:val="19"/>
        </w:rPr>
        <w:t xml:space="preserve">Log format must include: timestamp (NTP-synced), user_id, IP address, action, resource, status</w:t>
      </w:r>
    </w:p>
    <w:p>
      <w:pPr>
        <w:pStyle w:val="ListParagraph"/>
        <w:numPr>
          <w:ilvl w:val="0"/>
          <w:numId w:val="2"/>
        </w:numPr>
        <w:spacing w:after="40" w:before="40"/>
      </w:pPr>
      <w:r>
        <w:rPr>
          <w:rFonts w:ascii="Arial" w:cs="Arial" w:eastAsia="Arial" w:hAnsi="Arial"/>
          <w:color w:val="1A1A2E"/>
          <w:sz w:val="19"/>
          <w:szCs w:val="19"/>
        </w:rPr>
        <w:t xml:space="preserve">Retain logs for minimum 180 days; immutable storage (no delete/overwrite)</w:t>
      </w:r>
    </w:p>
    <w:p>
      <w:pPr>
        <w:pStyle w:val="ListParagraph"/>
        <w:numPr>
          <w:ilvl w:val="0"/>
          <w:numId w:val="2"/>
        </w:numPr>
        <w:spacing w:after="40" w:before="40"/>
      </w:pPr>
      <w:r>
        <w:rPr>
          <w:rFonts w:ascii="Arial" w:cs="Arial" w:eastAsia="Arial" w:hAnsi="Arial"/>
          <w:color w:val="1A1A2E"/>
          <w:sz w:val="19"/>
          <w:szCs w:val="19"/>
        </w:rPr>
        <w:t xml:space="preserve">Report security incidents to CERT-In within 6 hours of detection</w:t>
      </w:r>
    </w:p>
    <w:p>
      <w:r>
        <w:t xml:space="preserve"/>
      </w:r>
    </w:p>
    <w:p>
      <w:pPr>
        <w:spacing w:after="60" w:before="60"/>
        <w:jc w:val="left"/>
      </w:pPr>
      <w:r>
        <w:rPr>
          <w:rFonts w:ascii="Arial" w:cs="Arial" w:eastAsia="Arial" w:hAnsi="Arial"/>
          <w:color w:val="1A1A2E"/>
          <w:sz w:val="20"/>
          <w:szCs w:val="20"/>
        </w:rPr>
        <w:t xml:space="preserve">How to perform — Winston/Pino with PII masking:</w:t>
      </w:r>
    </w:p>
    <w:p>
      <w:pPr>
        <w:shd w:fill="1E1E1E" w:val="clear"/>
        <w:spacing w:after="40" w:before="40"/>
      </w:pPr>
      <w:r>
        <w:rPr>
          <w:rFonts w:ascii="Courier New" w:cs="Courier New" w:eastAsia="Courier New" w:hAnsi="Courier New"/>
          <w:color w:val="00FF7F"/>
          <w:sz w:val="17"/>
          <w:szCs w:val="17"/>
        </w:rPr>
        <w:t xml:space="preserve">const logger = pino({ redact: { paths: ['phone','email','aadhaar_ref','bank_account'], censor: '[REDACTED]' } });</w:t>
      </w:r>
    </w:p>
    <w:p>
      <w:pPr>
        <w:shd w:fill="1E1E1E" w:val="clear"/>
        <w:spacing w:after="40" w:before="40"/>
      </w:pPr>
      <w:r>
        <w:rPr>
          <w:rFonts w:ascii="Courier New" w:cs="Courier New" w:eastAsia="Courier New" w:hAnsi="Courier New"/>
          <w:color w:val="00FF7F"/>
          <w:sz w:val="17"/>
          <w:szCs w:val="17"/>
        </w:rPr>
        <w:t xml:space="preserve">// NTP sync — add to server startup</w:t>
      </w:r>
    </w:p>
    <w:p>
      <w:pPr>
        <w:shd w:fill="1E1E1E" w:val="clear"/>
        <w:spacing w:after="40" w:before="40"/>
      </w:pPr>
      <w:r>
        <w:rPr>
          <w:rFonts w:ascii="Courier New" w:cs="Courier New" w:eastAsia="Courier New" w:hAnsi="Courier New"/>
          <w:color w:val="00FF7F"/>
          <w:sz w:val="17"/>
          <w:szCs w:val="17"/>
        </w:rPr>
        <w:t xml:space="preserve">// Use chronyc or ntpdate to sync server clock to pool.ntp.org</w:t>
      </w:r>
    </w:p>
    <w:p>
      <w:r>
        <w:t xml:space="preserve"/>
      </w:r>
    </w:p>
    <w:p>
      <w:pPr>
        <w:pStyle w:val="Heading2"/>
        <w:spacing w:after="120" w:before="280"/>
      </w:pPr>
      <w:r>
        <w:rPr>
          <w:rFonts w:ascii="Arial" w:cs="Arial" w:eastAsia="Arial" w:hAnsi="Arial"/>
          <w:b/>
          <w:bCs/>
          <w:color w:val="2D6A4F"/>
          <w:sz w:val="28"/>
          <w:szCs w:val="28"/>
        </w:rPr>
        <w:t xml:space="preserve">6.3 IDOR Prevention — Farm &amp; User Data</w:t>
      </w:r>
    </w:p>
    <w:p>
      <w:pPr>
        <w:pStyle w:val="ListParagraph"/>
        <w:numPr>
          <w:ilvl w:val="0"/>
          <w:numId w:val="2"/>
        </w:numPr>
        <w:spacing w:after="40" w:before="40"/>
      </w:pPr>
      <w:r>
        <w:rPr>
          <w:rFonts w:ascii="Arial" w:cs="Arial" w:eastAsia="Arial" w:hAnsi="Arial"/>
          <w:color w:val="1A1A2E"/>
          <w:sz w:val="19"/>
          <w:szCs w:val="19"/>
        </w:rPr>
        <w:t xml:space="preserve">Never expose MongoDB _id directly in URLs for sensitive resources</w:t>
      </w:r>
    </w:p>
    <w:p>
      <w:pPr>
        <w:pStyle w:val="ListParagraph"/>
        <w:numPr>
          <w:ilvl w:val="0"/>
          <w:numId w:val="2"/>
        </w:numPr>
        <w:spacing w:after="40" w:before="40"/>
      </w:pPr>
      <w:r>
        <w:rPr>
          <w:rFonts w:ascii="Arial" w:cs="Arial" w:eastAsia="Arial" w:hAnsi="Arial"/>
          <w:color w:val="1A1A2E"/>
          <w:sz w:val="19"/>
          <w:szCs w:val="19"/>
        </w:rPr>
        <w:t xml:space="preserve">Use HMAC-signed resource tokens: HMAC-SHA256(secret, farmer_id + farm_id + timestamp)</w:t>
      </w:r>
    </w:p>
    <w:p>
      <w:pPr>
        <w:pStyle w:val="ListParagraph"/>
        <w:numPr>
          <w:ilvl w:val="0"/>
          <w:numId w:val="2"/>
        </w:numPr>
        <w:spacing w:after="40" w:before="40"/>
      </w:pPr>
      <w:r>
        <w:rPr>
          <w:rFonts w:ascii="Arial" w:cs="Arial" w:eastAsia="Arial" w:hAnsi="Arial"/>
          <w:color w:val="1A1A2E"/>
          <w:sz w:val="19"/>
          <w:szCs w:val="19"/>
        </w:rPr>
        <w:t xml:space="preserve">Validate token on every request; reject if tampered or expired</w:t>
      </w:r>
    </w:p>
    <w:p>
      <w:pPr>
        <w:pStyle w:val="ListParagraph"/>
        <w:numPr>
          <w:ilvl w:val="0"/>
          <w:numId w:val="2"/>
        </w:numPr>
        <w:spacing w:after="40" w:before="40"/>
      </w:pPr>
      <w:r>
        <w:rPr>
          <w:rFonts w:ascii="Arial" w:cs="Arial" w:eastAsia="Arial" w:hAnsi="Arial"/>
          <w:color w:val="1A1A2E"/>
          <w:sz w:val="19"/>
          <w:szCs w:val="19"/>
        </w:rPr>
        <w:t xml:space="preserve">Middleware must verify: requesting user's farmer_id === resource's farmer_id</w:t>
      </w:r>
    </w:p>
    <w:p>
      <w:r>
        <w:t xml:space="preserve"/>
      </w:r>
    </w:p>
    <w:p>
      <w:pPr>
        <w:shd w:fill="1E1E1E" w:val="clear"/>
        <w:spacing w:after="40" w:before="40"/>
      </w:pPr>
      <w:r>
        <w:rPr>
          <w:rFonts w:ascii="Courier New" w:cs="Courier New" w:eastAsia="Courier New" w:hAnsi="Courier New"/>
          <w:color w:val="00FF7F"/>
          <w:sz w:val="17"/>
          <w:szCs w:val="17"/>
        </w:rPr>
        <w:t xml:space="preserve">// IDOR middleware example</w:t>
      </w:r>
    </w:p>
    <w:p>
      <w:pPr>
        <w:shd w:fill="1E1E1E" w:val="clear"/>
        <w:spacing w:after="40" w:before="40"/>
      </w:pPr>
      <w:r>
        <w:rPr>
          <w:rFonts w:ascii="Courier New" w:cs="Courier New" w:eastAsia="Courier New" w:hAnsi="Courier New"/>
          <w:color w:val="00FF7F"/>
          <w:sz w:val="17"/>
          <w:szCs w:val="17"/>
        </w:rPr>
        <w:t xml:space="preserve">function ownFarmOnly(req, res, next) {</w:t>
      </w:r>
    </w:p>
    <w:p>
      <w:pPr>
        <w:shd w:fill="1E1E1E" w:val="clear"/>
        <w:spacing w:after="40" w:before="40"/>
      </w:pPr>
      <w:r>
        <w:rPr>
          <w:rFonts w:ascii="Courier New" w:cs="Courier New" w:eastAsia="Courier New" w:hAnsi="Courier New"/>
          <w:color w:val="00FF7F"/>
          <w:sz w:val="17"/>
          <w:szCs w:val="17"/>
        </w:rPr>
        <w:t xml:space="preserve">  const farm = await Farm.findById(req.params.farmId);</w:t>
      </w:r>
    </w:p>
    <w:p>
      <w:pPr>
        <w:shd w:fill="1E1E1E" w:val="clear"/>
        <w:spacing w:after="40" w:before="40"/>
      </w:pPr>
      <w:r>
        <w:rPr>
          <w:rFonts w:ascii="Courier New" w:cs="Courier New" w:eastAsia="Courier New" w:hAnsi="Courier New"/>
          <w:color w:val="00FF7F"/>
          <w:sz w:val="17"/>
          <w:szCs w:val="17"/>
        </w:rPr>
        <w:t xml:space="preserve">  if (!farm || farm.farmer_id.toString() !== req.user.id) return res.status(403).json({ error: 'Forbidden' });</w:t>
      </w:r>
    </w:p>
    <w:p>
      <w:pPr>
        <w:shd w:fill="1E1E1E" w:val="clear"/>
        <w:spacing w:after="40" w:before="40"/>
      </w:pPr>
      <w:r>
        <w:rPr>
          <w:rFonts w:ascii="Courier New" w:cs="Courier New" w:eastAsia="Courier New" w:hAnsi="Courier New"/>
          <w:color w:val="00FF7F"/>
          <w:sz w:val="17"/>
          <w:szCs w:val="17"/>
        </w:rPr>
        <w:t xml:space="preserve">  next();</w:t>
      </w:r>
    </w:p>
    <w:p>
      <w:pPr>
        <w:shd w:fill="1E1E1E" w:val="clear"/>
        <w:spacing w:after="40" w:before="40"/>
      </w:pPr>
      <w:r>
        <w:rPr>
          <w:rFonts w:ascii="Courier New" w:cs="Courier New" w:eastAsia="Courier New" w:hAnsi="Courier New"/>
          <w:color w:val="00FF7F"/>
          <w:sz w:val="17"/>
          <w:szCs w:val="17"/>
        </w:rPr>
        <w:t xml:space="preserve">}</w:t>
      </w:r>
    </w:p>
    <w:p>
      <w:r>
        <w:t xml:space="preserve"/>
      </w:r>
    </w:p>
    <w:p>
      <w:pPr>
        <w:pStyle w:val="Heading2"/>
        <w:spacing w:after="120" w:before="280"/>
      </w:pPr>
      <w:r>
        <w:rPr>
          <w:rFonts w:ascii="Arial" w:cs="Arial" w:eastAsia="Arial" w:hAnsi="Arial"/>
          <w:b/>
          <w:bCs/>
          <w:color w:val="2D6A4F"/>
          <w:sz w:val="28"/>
          <w:szCs w:val="28"/>
        </w:rPr>
        <w:t xml:space="preserve">6.4 API Security</w:t>
      </w:r>
    </w:p>
    <w:p>
      <w:pPr>
        <w:pStyle w:val="ListParagraph"/>
        <w:numPr>
          <w:ilvl w:val="0"/>
          <w:numId w:val="2"/>
        </w:numPr>
        <w:spacing w:after="40" w:before="40"/>
      </w:pPr>
      <w:r>
        <w:rPr>
          <w:rFonts w:ascii="Arial" w:cs="Arial" w:eastAsia="Arial" w:hAnsi="Arial"/>
          <w:color w:val="1A1A2E"/>
          <w:sz w:val="19"/>
          <w:szCs w:val="19"/>
        </w:rPr>
        <w:t xml:space="preserve">Validate all inputs with Joi or Zod schemas — reject unexpected fields</w:t>
      </w:r>
    </w:p>
    <w:p>
      <w:pPr>
        <w:pStyle w:val="ListParagraph"/>
        <w:numPr>
          <w:ilvl w:val="0"/>
          <w:numId w:val="2"/>
        </w:numPr>
        <w:spacing w:after="40" w:before="40"/>
      </w:pPr>
      <w:r>
        <w:rPr>
          <w:rFonts w:ascii="Arial" w:cs="Arial" w:eastAsia="Arial" w:hAnsi="Arial"/>
          <w:color w:val="1A1A2E"/>
          <w:sz w:val="19"/>
          <w:szCs w:val="19"/>
        </w:rPr>
        <w:t xml:space="preserve">Apply Helmet.js for security headers (CSP, X-Frame-Options, X-Content-Type-Options, HSTS)</w:t>
      </w:r>
    </w:p>
    <w:p>
      <w:pPr>
        <w:pStyle w:val="ListParagraph"/>
        <w:numPr>
          <w:ilvl w:val="0"/>
          <w:numId w:val="2"/>
        </w:numPr>
        <w:spacing w:after="40" w:before="40"/>
      </w:pPr>
      <w:r>
        <w:rPr>
          <w:rFonts w:ascii="Arial" w:cs="Arial" w:eastAsia="Arial" w:hAnsi="Arial"/>
          <w:color w:val="1A1A2E"/>
          <w:sz w:val="19"/>
          <w:szCs w:val="19"/>
        </w:rPr>
        <w:t xml:space="preserve">Rate limit all public APIs: 100 requests/minute per IP using express-rate-limit</w:t>
      </w:r>
    </w:p>
    <w:p>
      <w:pPr>
        <w:pStyle w:val="ListParagraph"/>
        <w:numPr>
          <w:ilvl w:val="0"/>
          <w:numId w:val="2"/>
        </w:numPr>
        <w:spacing w:after="40" w:before="40"/>
      </w:pPr>
      <w:r>
        <w:rPr>
          <w:rFonts w:ascii="Arial" w:cs="Arial" w:eastAsia="Arial" w:hAnsi="Arial"/>
          <w:color w:val="1A1A2E"/>
          <w:sz w:val="19"/>
          <w:szCs w:val="19"/>
        </w:rPr>
        <w:t xml:space="preserve">Return generic error messages to clients; log detailed errors server-side only</w:t>
      </w:r>
    </w:p>
    <w:p>
      <w:r>
        <w:t xml:space="preserve"/>
      </w:r>
    </w:p>
    <w:p>
      <w:pPr>
        <w:pStyle w:val="Heading2"/>
        <w:spacing w:after="120" w:before="280"/>
      </w:pPr>
      <w:r>
        <w:rPr>
          <w:rFonts w:ascii="Arial" w:cs="Arial" w:eastAsia="Arial" w:hAnsi="Arial"/>
          <w:b/>
          <w:bCs/>
          <w:color w:val="2D6A4F"/>
          <w:sz w:val="28"/>
          <w:szCs w:val="28"/>
        </w:rPr>
        <w:t xml:space="preserve">6.5 Breach Response Readiness</w:t>
      </w:r>
    </w:p>
    <w:p>
      <w:pPr>
        <w:pStyle w:val="ListParagraph"/>
        <w:numPr>
          <w:ilvl w:val="0"/>
          <w:numId w:val="2"/>
        </w:numPr>
        <w:spacing w:after="40" w:before="40"/>
      </w:pPr>
      <w:r>
        <w:rPr>
          <w:rFonts w:ascii="Arial" w:cs="Arial" w:eastAsia="Arial" w:hAnsi="Arial"/>
          <w:color w:val="1A1A2E"/>
          <w:sz w:val="19"/>
          <w:szCs w:val="19"/>
        </w:rPr>
        <w:t xml:space="preserve">Maintain a Breach Response Runbook with escalation contacts and CERT-In notification template</w:t>
      </w:r>
    </w:p>
    <w:p>
      <w:pPr>
        <w:pStyle w:val="ListParagraph"/>
        <w:numPr>
          <w:ilvl w:val="0"/>
          <w:numId w:val="2"/>
        </w:numPr>
        <w:spacing w:after="40" w:before="40"/>
      </w:pPr>
      <w:r>
        <w:rPr>
          <w:rFonts w:ascii="Arial" w:cs="Arial" w:eastAsia="Arial" w:hAnsi="Arial"/>
          <w:color w:val="1A1A2E"/>
          <w:sz w:val="19"/>
          <w:szCs w:val="19"/>
        </w:rPr>
        <w:t xml:space="preserve">DPDP Act requires notification to Data Protection Board and affected data principals without undue delay</w:t>
      </w:r>
    </w:p>
    <w:p>
      <w:pPr>
        <w:pStyle w:val="ListParagraph"/>
        <w:numPr>
          <w:ilvl w:val="0"/>
          <w:numId w:val="2"/>
        </w:numPr>
        <w:spacing w:after="40" w:before="40"/>
      </w:pPr>
      <w:r>
        <w:rPr>
          <w:rFonts w:ascii="Arial" w:cs="Arial" w:eastAsia="Arial" w:hAnsi="Arial"/>
          <w:color w:val="1A1A2E"/>
          <w:sz w:val="19"/>
          <w:szCs w:val="19"/>
        </w:rPr>
        <w:t xml:space="preserve">CERT-In 2022 requires incident report within 6 hours of detection for specified incidents</w:t>
      </w:r>
    </w:p>
    <w:p>
      <w:pPr>
        <w:pStyle w:val="ListParagraph"/>
        <w:numPr>
          <w:ilvl w:val="0"/>
          <w:numId w:val="2"/>
        </w:numPr>
        <w:spacing w:after="40" w:before="40"/>
      </w:pPr>
      <w:r>
        <w:rPr>
          <w:rFonts w:ascii="Arial" w:cs="Arial" w:eastAsia="Arial" w:hAnsi="Arial"/>
          <w:color w:val="1A1A2E"/>
          <w:sz w:val="19"/>
          <w:szCs w:val="19"/>
        </w:rPr>
        <w:t xml:space="preserve">Conduct quarterly tabletop breach simulation exercises</w:t>
      </w:r>
    </w:p>
    <w:p>
      <w:r>
        <w:t xml:space="preserve"/>
      </w:r>
    </w:p>
    <w:p>
      <w:r>
        <w:br w:type="page"/>
      </w:r>
    </w:p>
    <w:p>
      <w:pPr>
        <w:pStyle w:val="Heading1"/>
        <w:spacing w:after="160" w:before="360"/>
      </w:pPr>
      <w:r>
        <w:rPr>
          <w:rFonts w:ascii="Arial" w:cs="Arial" w:eastAsia="Arial" w:hAnsi="Arial"/>
          <w:b/>
          <w:bCs/>
          <w:color w:val="1B4332"/>
          <w:sz w:val="36"/>
          <w:szCs w:val="36"/>
        </w:rPr>
        <w:t xml:space="preserve">7. Priority Implementation Checklist</w:t>
      </w:r>
    </w:p>
    <w:p>
      <w:pPr>
        <w:pBdr>
          <w:bottom w:val="single" w:color="52B788" w:sz="6" w:space="1"/>
        </w:pBdr>
        <w:spacing w:after="60" w:before="60"/>
      </w:pPr>
      <w:r>
        <w:t xml:space="preserve"/>
      </w:r>
    </w:p>
    <w:p>
      <w:r>
        <w:t xml:space="preserve"/>
      </w:r>
    </w:p>
    <w:p>
      <w:pPr>
        <w:spacing w:after="60" w:before="60"/>
        <w:jc w:val="left"/>
      </w:pPr>
      <w:r>
        <w:rPr>
          <w:rFonts w:ascii="Arial" w:cs="Arial" w:eastAsia="Arial" w:hAnsi="Arial"/>
          <w:color w:val="1A1A2E"/>
          <w:sz w:val="20"/>
          <w:szCs w:val="20"/>
        </w:rPr>
        <w:t xml:space="preserve">Use the following checklist to track implementation progress. Items are sorted by priority. Complete all Critical items before platform launch.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640"/>
        <w:gridCol w:w="1800"/>
        <w:gridCol w:w="1400"/>
      </w:tblGrid>
      <w:tr>
        <w:trPr>
          <w:tblHeader/>
        </w:trPr>
        <w:tc>
          <w:tcPr>
            <w:tcW w:type="dxa" w:w="52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Priority</w:t>
            </w:r>
          </w:p>
        </w:tc>
        <w:tc>
          <w:tcPr>
            <w:tcW w:type="dxa" w:w="564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Action Item</w:t>
            </w:r>
          </w:p>
        </w:tc>
        <w:tc>
          <w:tcPr>
            <w:tcW w:type="dxa" w:w="180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Regulatory Basis</w:t>
            </w:r>
          </w:p>
        </w:tc>
        <w:tc>
          <w:tcPr>
            <w:tcW w:type="dxa" w:w="140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Target</w:t>
            </w:r>
          </w:p>
        </w:tc>
      </w:tr>
      <w:tr>
        <w:tc>
          <w:tcPr>
            <w:tcW w:type="dxa" w:w="520"/>
            <w:tcBorders>
              <w:top w:val="single" w:color="CCCCCC" w:sz="1"/>
              <w:left w:val="single" w:color="CCCCCC" w:sz="1"/>
              <w:bottom w:val="single" w:color="CCCCCC" w:sz="1"/>
              <w:right w:val="single" w:color="CCCCCC" w:sz="1"/>
            </w:tcBorders>
            <w:shd w:fill="FFF5F5" w:val="clear"/>
            <w:tcMar>
              <w:top w:type="dxa" w:w="70"/>
              <w:left w:type="dxa" w:w="100"/>
              <w:bottom w:type="dxa" w:w="70"/>
              <w:right w:type="dxa" w:w="100"/>
            </w:tcMar>
            <w:vAlign w:val="center"/>
          </w:tcPr>
          <w:p>
            <w:r>
              <w:rPr>
                <w:rFonts w:ascii="Arial" w:cs="Arial" w:eastAsia="Arial" w:hAnsi="Arial"/>
                <w:b/>
                <w:bCs/>
                <w:color w:val="C0392B"/>
                <w:sz w:val="16"/>
                <w:szCs w:val="16"/>
              </w:rPr>
              <w:t xml:space="preserve">Critical</w:t>
            </w:r>
          </w:p>
        </w:tc>
        <w:tc>
          <w:tcPr>
            <w:tcW w:type="dxa" w:w="5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Never store full Aadhaar numbers in any database — use tokenised references only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DPDP Act / Aadhaar Act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Pre-launch</w:t>
            </w:r>
          </w:p>
        </w:tc>
      </w:tr>
      <w:tr>
        <w:tc>
          <w:tcPr>
            <w:tcW w:type="dxa" w:w="520"/>
            <w:tcBorders>
              <w:top w:val="single" w:color="CCCCCC" w:sz="1"/>
              <w:left w:val="single" w:color="CCCCCC" w:sz="1"/>
              <w:bottom w:val="single" w:color="CCCCCC" w:sz="1"/>
              <w:right w:val="single" w:color="CCCCCC" w:sz="1"/>
            </w:tcBorders>
            <w:shd w:fill="FFF5F5" w:val="clear"/>
            <w:tcMar>
              <w:top w:type="dxa" w:w="70"/>
              <w:left w:type="dxa" w:w="100"/>
              <w:bottom w:type="dxa" w:w="70"/>
              <w:right w:type="dxa" w:w="100"/>
            </w:tcMar>
            <w:vAlign w:val="center"/>
          </w:tcPr>
          <w:p>
            <w:r>
              <w:rPr>
                <w:rFonts w:ascii="Arial" w:cs="Arial" w:eastAsia="Arial" w:hAnsi="Arial"/>
                <w:b/>
                <w:bCs/>
                <w:color w:val="C0392B"/>
                <w:sz w:val="16"/>
                <w:szCs w:val="16"/>
              </w:rPr>
              <w:t xml:space="preserve">Critical</w:t>
            </w:r>
          </w:p>
        </w:tc>
        <w:tc>
          <w:tcPr>
            <w:tcW w:type="dxa" w:w="5640"/>
            <w:tcBorders>
              <w:top w:val="single" w:color="CCCCCC" w:sz="1"/>
              <w:left w:val="single" w:color="CCCCCC" w:sz="1"/>
              <w:bottom w:val="single" w:color="CCCCCC" w:sz="1"/>
              <w:right w:val="single" w:color="CCCCCC" w:sz="1"/>
            </w:tcBorders>
            <w:shd w:fill="F0FAF4"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Encrypt Farmer KYC and bank details fields with AES-256-GCM</w:t>
            </w:r>
          </w:p>
        </w:tc>
        <w:tc>
          <w:tcPr>
            <w:tcW w:type="dxa" w:w="1800"/>
            <w:tcBorders>
              <w:top w:val="single" w:color="CCCCCC" w:sz="1"/>
              <w:left w:val="single" w:color="CCCCCC" w:sz="1"/>
              <w:bottom w:val="single" w:color="CCCCCC" w:sz="1"/>
              <w:right w:val="single" w:color="CCCCCC" w:sz="1"/>
            </w:tcBorders>
            <w:shd w:fill="F0FAF4"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IT Act / SPDI Rules</w:t>
            </w:r>
          </w:p>
        </w:tc>
        <w:tc>
          <w:tcPr>
            <w:tcW w:type="dxa" w:w="1400"/>
            <w:tcBorders>
              <w:top w:val="single" w:color="CCCCCC" w:sz="1"/>
              <w:left w:val="single" w:color="CCCCCC" w:sz="1"/>
              <w:bottom w:val="single" w:color="CCCCCC" w:sz="1"/>
              <w:right w:val="single" w:color="CCCCCC" w:sz="1"/>
            </w:tcBorders>
            <w:shd w:fill="F0FAF4"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Pre-launch</w:t>
            </w:r>
          </w:p>
        </w:tc>
      </w:tr>
      <w:tr>
        <w:tc>
          <w:tcPr>
            <w:tcW w:type="dxa" w:w="520"/>
            <w:tcBorders>
              <w:top w:val="single" w:color="CCCCCC" w:sz="1"/>
              <w:left w:val="single" w:color="CCCCCC" w:sz="1"/>
              <w:bottom w:val="single" w:color="CCCCCC" w:sz="1"/>
              <w:right w:val="single" w:color="CCCCCC" w:sz="1"/>
            </w:tcBorders>
            <w:shd w:fill="FFF5F5" w:val="clear"/>
            <w:tcMar>
              <w:top w:type="dxa" w:w="70"/>
              <w:left w:type="dxa" w:w="100"/>
              <w:bottom w:type="dxa" w:w="70"/>
              <w:right w:type="dxa" w:w="100"/>
            </w:tcMar>
            <w:vAlign w:val="center"/>
          </w:tcPr>
          <w:p>
            <w:r>
              <w:rPr>
                <w:rFonts w:ascii="Arial" w:cs="Arial" w:eastAsia="Arial" w:hAnsi="Arial"/>
                <w:b/>
                <w:bCs/>
                <w:color w:val="C0392B"/>
                <w:sz w:val="16"/>
                <w:szCs w:val="16"/>
              </w:rPr>
              <w:t xml:space="preserve">Critical</w:t>
            </w:r>
          </w:p>
        </w:tc>
        <w:tc>
          <w:tcPr>
            <w:tcW w:type="dxa" w:w="5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Configure S3 private buckets with Block Public Access for all farm imagery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DPDP / Farm Data Policy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Pre-launch</w:t>
            </w:r>
          </w:p>
        </w:tc>
      </w:tr>
      <w:tr>
        <w:tc>
          <w:tcPr>
            <w:tcW w:type="dxa" w:w="520"/>
            <w:tcBorders>
              <w:top w:val="single" w:color="CCCCCC" w:sz="1"/>
              <w:left w:val="single" w:color="CCCCCC" w:sz="1"/>
              <w:bottom w:val="single" w:color="CCCCCC" w:sz="1"/>
              <w:right w:val="single" w:color="CCCCCC" w:sz="1"/>
            </w:tcBorders>
            <w:shd w:fill="FFF5F5" w:val="clear"/>
            <w:tcMar>
              <w:top w:type="dxa" w:w="70"/>
              <w:left w:type="dxa" w:w="100"/>
              <w:bottom w:type="dxa" w:w="70"/>
              <w:right w:type="dxa" w:w="100"/>
            </w:tcMar>
            <w:vAlign w:val="center"/>
          </w:tcPr>
          <w:p>
            <w:r>
              <w:rPr>
                <w:rFonts w:ascii="Arial" w:cs="Arial" w:eastAsia="Arial" w:hAnsi="Arial"/>
                <w:b/>
                <w:bCs/>
                <w:color w:val="C0392B"/>
                <w:sz w:val="16"/>
                <w:szCs w:val="16"/>
              </w:rPr>
              <w:t xml:space="preserve">Critical</w:t>
            </w:r>
          </w:p>
        </w:tc>
        <w:tc>
          <w:tcPr>
            <w:tcW w:type="dxa" w:w="5640"/>
            <w:tcBorders>
              <w:top w:val="single" w:color="CCCCCC" w:sz="1"/>
              <w:left w:val="single" w:color="CCCCCC" w:sz="1"/>
              <w:bottom w:val="single" w:color="CCCCCC" w:sz="1"/>
              <w:right w:val="single" w:color="CCCCCC" w:sz="1"/>
            </w:tcBorders>
            <w:shd w:fill="F0FAF4"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Implement RBAC middleware — farmer accesses only own data, buyer accesses only own orders</w:t>
            </w:r>
          </w:p>
        </w:tc>
        <w:tc>
          <w:tcPr>
            <w:tcW w:type="dxa" w:w="1800"/>
            <w:tcBorders>
              <w:top w:val="single" w:color="CCCCCC" w:sz="1"/>
              <w:left w:val="single" w:color="CCCCCC" w:sz="1"/>
              <w:bottom w:val="single" w:color="CCCCCC" w:sz="1"/>
              <w:right w:val="single" w:color="CCCCCC" w:sz="1"/>
            </w:tcBorders>
            <w:shd w:fill="F0FAF4"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DPDP Act</w:t>
            </w:r>
          </w:p>
        </w:tc>
        <w:tc>
          <w:tcPr>
            <w:tcW w:type="dxa" w:w="1400"/>
            <w:tcBorders>
              <w:top w:val="single" w:color="CCCCCC" w:sz="1"/>
              <w:left w:val="single" w:color="CCCCCC" w:sz="1"/>
              <w:bottom w:val="single" w:color="CCCCCC" w:sz="1"/>
              <w:right w:val="single" w:color="CCCCCC" w:sz="1"/>
            </w:tcBorders>
            <w:shd w:fill="F0FAF4"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Pre-launch</w:t>
            </w:r>
          </w:p>
        </w:tc>
      </w:tr>
      <w:tr>
        <w:tc>
          <w:tcPr>
            <w:tcW w:type="dxa" w:w="520"/>
            <w:tcBorders>
              <w:top w:val="single" w:color="CCCCCC" w:sz="1"/>
              <w:left w:val="single" w:color="CCCCCC" w:sz="1"/>
              <w:bottom w:val="single" w:color="CCCCCC" w:sz="1"/>
              <w:right w:val="single" w:color="CCCCCC" w:sz="1"/>
            </w:tcBorders>
            <w:shd w:fill="FFF5F5" w:val="clear"/>
            <w:tcMar>
              <w:top w:type="dxa" w:w="70"/>
              <w:left w:type="dxa" w:w="100"/>
              <w:bottom w:type="dxa" w:w="70"/>
              <w:right w:type="dxa" w:w="100"/>
            </w:tcMar>
            <w:vAlign w:val="center"/>
          </w:tcPr>
          <w:p>
            <w:r>
              <w:rPr>
                <w:rFonts w:ascii="Arial" w:cs="Arial" w:eastAsia="Arial" w:hAnsi="Arial"/>
                <w:b/>
                <w:bCs/>
                <w:color w:val="C0392B"/>
                <w:sz w:val="16"/>
                <w:szCs w:val="16"/>
              </w:rPr>
              <w:t xml:space="preserve">Critical</w:t>
            </w:r>
          </w:p>
        </w:tc>
        <w:tc>
          <w:tcPr>
            <w:tcW w:type="dxa" w:w="5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Route all payments through RBI-licensed Payment Aggregator — no card data on platform</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RBI PA Guidelines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Pre-launch</w:t>
            </w:r>
          </w:p>
        </w:tc>
      </w:tr>
      <w:tr>
        <w:tc>
          <w:tcPr>
            <w:tcW w:type="dxa" w:w="520"/>
            <w:tcBorders>
              <w:top w:val="single" w:color="CCCCCC" w:sz="1"/>
              <w:left w:val="single" w:color="CCCCCC" w:sz="1"/>
              <w:bottom w:val="single" w:color="CCCCCC" w:sz="1"/>
              <w:right w:val="single" w:color="CCCCCC" w:sz="1"/>
            </w:tcBorders>
            <w:shd w:fill="FFF5F5" w:val="clear"/>
            <w:tcMar>
              <w:top w:type="dxa" w:w="70"/>
              <w:left w:type="dxa" w:w="100"/>
              <w:bottom w:type="dxa" w:w="70"/>
              <w:right w:type="dxa" w:w="100"/>
            </w:tcMar>
            <w:vAlign w:val="center"/>
          </w:tcPr>
          <w:p>
            <w:r>
              <w:rPr>
                <w:rFonts w:ascii="Arial" w:cs="Arial" w:eastAsia="Arial" w:hAnsi="Arial"/>
                <w:b/>
                <w:bCs/>
                <w:color w:val="C0392B"/>
                <w:sz w:val="16"/>
                <w:szCs w:val="16"/>
              </w:rPr>
              <w:t xml:space="preserve">Critical</w:t>
            </w:r>
          </w:p>
        </w:tc>
        <w:tc>
          <w:tcPr>
            <w:tcW w:type="dxa" w:w="5640"/>
            <w:tcBorders>
              <w:top w:val="single" w:color="CCCCCC" w:sz="1"/>
              <w:left w:val="single" w:color="CCCCCC" w:sz="1"/>
              <w:bottom w:val="single" w:color="CCCCCC" w:sz="1"/>
              <w:right w:val="single" w:color="CCCCCC" w:sz="1"/>
            </w:tcBorders>
            <w:shd w:fill="F0FAF4"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Implement DPDP-compliant consent module with per-purpose consent capture and immutable log</w:t>
            </w:r>
          </w:p>
        </w:tc>
        <w:tc>
          <w:tcPr>
            <w:tcW w:type="dxa" w:w="1800"/>
            <w:tcBorders>
              <w:top w:val="single" w:color="CCCCCC" w:sz="1"/>
              <w:left w:val="single" w:color="CCCCCC" w:sz="1"/>
              <w:bottom w:val="single" w:color="CCCCCC" w:sz="1"/>
              <w:right w:val="single" w:color="CCCCCC" w:sz="1"/>
            </w:tcBorders>
            <w:shd w:fill="F0FAF4"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DPDP Act 2023</w:t>
            </w:r>
          </w:p>
        </w:tc>
        <w:tc>
          <w:tcPr>
            <w:tcW w:type="dxa" w:w="1400"/>
            <w:tcBorders>
              <w:top w:val="single" w:color="CCCCCC" w:sz="1"/>
              <w:left w:val="single" w:color="CCCCCC" w:sz="1"/>
              <w:bottom w:val="single" w:color="CCCCCC" w:sz="1"/>
              <w:right w:val="single" w:color="CCCCCC" w:sz="1"/>
            </w:tcBorders>
            <w:shd w:fill="F0FAF4"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Pre-launch</w:t>
            </w:r>
          </w:p>
        </w:tc>
      </w:tr>
      <w:tr>
        <w:tc>
          <w:tcPr>
            <w:tcW w:type="dxa" w:w="520"/>
            <w:tcBorders>
              <w:top w:val="single" w:color="CCCCCC" w:sz="1"/>
              <w:left w:val="single" w:color="CCCCCC" w:sz="1"/>
              <w:bottom w:val="single" w:color="CCCCCC" w:sz="1"/>
              <w:right w:val="single" w:color="CCCCCC" w:sz="1"/>
            </w:tcBorders>
            <w:shd w:fill="FFF5F5" w:val="clear"/>
            <w:tcMar>
              <w:top w:type="dxa" w:w="70"/>
              <w:left w:type="dxa" w:w="100"/>
              <w:bottom w:type="dxa" w:w="70"/>
              <w:right w:type="dxa" w:w="100"/>
            </w:tcMar>
            <w:vAlign w:val="center"/>
          </w:tcPr>
          <w:p>
            <w:r>
              <w:rPr>
                <w:rFonts w:ascii="Arial" w:cs="Arial" w:eastAsia="Arial" w:hAnsi="Arial"/>
                <w:b/>
                <w:bCs/>
                <w:color w:val="C0392B"/>
                <w:sz w:val="16"/>
                <w:szCs w:val="16"/>
              </w:rPr>
              <w:t xml:space="preserve">Critical</w:t>
            </w:r>
          </w:p>
        </w:tc>
        <w:tc>
          <w:tcPr>
            <w:tcW w:type="dxa" w:w="5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Set TLS 1.2+ on all endpoints with HSTS enabled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IT Act / CERT-In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Pre-launch</w:t>
            </w:r>
          </w:p>
        </w:tc>
      </w:tr>
      <w:tr>
        <w:tc>
          <w:tcPr>
            <w:tcW w:type="dxa" w:w="520"/>
            <w:tcBorders>
              <w:top w:val="single" w:color="CCCCCC" w:sz="1"/>
              <w:left w:val="single" w:color="CCCCCC" w:sz="1"/>
              <w:bottom w:val="single" w:color="CCCCCC" w:sz="1"/>
              <w:right w:val="single" w:color="CCCCCC" w:sz="1"/>
            </w:tcBorders>
            <w:shd w:fill="FFF5F5" w:val="clear"/>
            <w:tcMar>
              <w:top w:type="dxa" w:w="70"/>
              <w:left w:type="dxa" w:w="100"/>
              <w:bottom w:type="dxa" w:w="70"/>
              <w:right w:type="dxa" w:w="100"/>
            </w:tcMar>
            <w:vAlign w:val="center"/>
          </w:tcPr>
          <w:p>
            <w:r>
              <w:rPr>
                <w:rFonts w:ascii="Arial" w:cs="Arial" w:eastAsia="Arial" w:hAnsi="Arial"/>
                <w:b/>
                <w:bCs/>
                <w:color w:val="C0392B"/>
                <w:sz w:val="16"/>
                <w:szCs w:val="16"/>
              </w:rPr>
              <w:t xml:space="preserve">Critical</w:t>
            </w:r>
          </w:p>
        </w:tc>
        <w:tc>
          <w:tcPr>
            <w:tcW w:type="dxa" w:w="5640"/>
            <w:tcBorders>
              <w:top w:val="single" w:color="CCCCCC" w:sz="1"/>
              <w:left w:val="single" w:color="CCCCCC" w:sz="1"/>
              <w:bottom w:val="single" w:color="CCCCCC" w:sz="1"/>
              <w:right w:val="single" w:color="CCCCCC" w:sz="1"/>
            </w:tcBorders>
            <w:shd w:fill="F0FAF4"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Restrict AI crop health assessments to farm owner — enforce farm_id scoping on all AI APIs</w:t>
            </w:r>
          </w:p>
        </w:tc>
        <w:tc>
          <w:tcPr>
            <w:tcW w:type="dxa" w:w="1800"/>
            <w:tcBorders>
              <w:top w:val="single" w:color="CCCCCC" w:sz="1"/>
              <w:left w:val="single" w:color="CCCCCC" w:sz="1"/>
              <w:bottom w:val="single" w:color="CCCCCC" w:sz="1"/>
              <w:right w:val="single" w:color="CCCCCC" w:sz="1"/>
            </w:tcBorders>
            <w:shd w:fill="F0FAF4"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DPDP / Farm Data</w:t>
            </w:r>
          </w:p>
        </w:tc>
        <w:tc>
          <w:tcPr>
            <w:tcW w:type="dxa" w:w="1400"/>
            <w:tcBorders>
              <w:top w:val="single" w:color="CCCCCC" w:sz="1"/>
              <w:left w:val="single" w:color="CCCCCC" w:sz="1"/>
              <w:bottom w:val="single" w:color="CCCCCC" w:sz="1"/>
              <w:right w:val="single" w:color="CCCCCC" w:sz="1"/>
            </w:tcBorders>
            <w:shd w:fill="F0FAF4"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Pre-launch</w:t>
            </w:r>
          </w:p>
        </w:tc>
      </w:tr>
      <w:tr>
        <w:tc>
          <w:tcPr>
            <w:tcW w:type="dxa" w:w="520"/>
            <w:tcBorders>
              <w:top w:val="single" w:color="CCCCCC" w:sz="1"/>
              <w:left w:val="single" w:color="CCCCCC" w:sz="1"/>
              <w:bottom w:val="single" w:color="CCCCCC" w:sz="1"/>
              <w:right w:val="single" w:color="CCCCCC" w:sz="1"/>
            </w:tcBorders>
            <w:shd w:fill="FFFBF0" w:val="clear"/>
            <w:tcMar>
              <w:top w:type="dxa" w:w="70"/>
              <w:left w:type="dxa" w:w="100"/>
              <w:bottom w:type="dxa" w:w="70"/>
              <w:right w:type="dxa" w:w="100"/>
            </w:tcMar>
            <w:vAlign w:val="center"/>
          </w:tcPr>
          <w:p>
            <w:r>
              <w:rPr>
                <w:rFonts w:ascii="Arial" w:cs="Arial" w:eastAsia="Arial" w:hAnsi="Arial"/>
                <w:b/>
                <w:bCs/>
                <w:color w:val="B7600A"/>
                <w:sz w:val="16"/>
                <w:szCs w:val="16"/>
              </w:rPr>
              <w:t xml:space="preserve">High</w:t>
            </w:r>
          </w:p>
        </w:tc>
        <w:tc>
          <w:tcPr>
            <w:tcW w:type="dxa" w:w="5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Enable CERT-In compliant logging: 180-day retention, NTP-synced, PII-masked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CERT-In 2022</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Week 1 post-launch</w:t>
            </w:r>
          </w:p>
        </w:tc>
      </w:tr>
      <w:tr>
        <w:tc>
          <w:tcPr>
            <w:tcW w:type="dxa" w:w="520"/>
            <w:tcBorders>
              <w:top w:val="single" w:color="CCCCCC" w:sz="1"/>
              <w:left w:val="single" w:color="CCCCCC" w:sz="1"/>
              <w:bottom w:val="single" w:color="CCCCCC" w:sz="1"/>
              <w:right w:val="single" w:color="CCCCCC" w:sz="1"/>
            </w:tcBorders>
            <w:shd w:fill="FFFBF0" w:val="clear"/>
            <w:tcMar>
              <w:top w:type="dxa" w:w="70"/>
              <w:left w:type="dxa" w:w="100"/>
              <w:bottom w:type="dxa" w:w="70"/>
              <w:right w:type="dxa" w:w="100"/>
            </w:tcMar>
            <w:vAlign w:val="center"/>
          </w:tcPr>
          <w:p>
            <w:r>
              <w:rPr>
                <w:rFonts w:ascii="Arial" w:cs="Arial" w:eastAsia="Arial" w:hAnsi="Arial"/>
                <w:b/>
                <w:bCs/>
                <w:color w:val="B7600A"/>
                <w:sz w:val="16"/>
                <w:szCs w:val="16"/>
              </w:rPr>
              <w:t xml:space="preserve">High</w:t>
            </w:r>
          </w:p>
        </w:tc>
        <w:tc>
          <w:tcPr>
            <w:tcW w:type="dxa" w:w="5640"/>
            <w:tcBorders>
              <w:top w:val="single" w:color="CCCCCC" w:sz="1"/>
              <w:left w:val="single" w:color="CCCCCC" w:sz="1"/>
              <w:bottom w:val="single" w:color="CCCCCC" w:sz="1"/>
              <w:right w:val="single" w:color="CCCCCC" w:sz="1"/>
            </w:tcBorders>
            <w:shd w:fill="F0FAF4"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Verify DGCA drone operator registration (UIN) before accepting imagery uploads</w:t>
            </w:r>
          </w:p>
        </w:tc>
        <w:tc>
          <w:tcPr>
            <w:tcW w:type="dxa" w:w="1800"/>
            <w:tcBorders>
              <w:top w:val="single" w:color="CCCCCC" w:sz="1"/>
              <w:left w:val="single" w:color="CCCCCC" w:sz="1"/>
              <w:bottom w:val="single" w:color="CCCCCC" w:sz="1"/>
              <w:right w:val="single" w:color="CCCCCC" w:sz="1"/>
            </w:tcBorders>
            <w:shd w:fill="F0FAF4"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Drone Rules 2021</w:t>
            </w:r>
          </w:p>
        </w:tc>
        <w:tc>
          <w:tcPr>
            <w:tcW w:type="dxa" w:w="1400"/>
            <w:tcBorders>
              <w:top w:val="single" w:color="CCCCCC" w:sz="1"/>
              <w:left w:val="single" w:color="CCCCCC" w:sz="1"/>
              <w:bottom w:val="single" w:color="CCCCCC" w:sz="1"/>
              <w:right w:val="single" w:color="CCCCCC" w:sz="1"/>
            </w:tcBorders>
            <w:shd w:fill="F0FAF4"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Week 1 post-launch</w:t>
            </w:r>
          </w:p>
        </w:tc>
      </w:tr>
      <w:tr>
        <w:tc>
          <w:tcPr>
            <w:tcW w:type="dxa" w:w="520"/>
            <w:tcBorders>
              <w:top w:val="single" w:color="CCCCCC" w:sz="1"/>
              <w:left w:val="single" w:color="CCCCCC" w:sz="1"/>
              <w:bottom w:val="single" w:color="CCCCCC" w:sz="1"/>
              <w:right w:val="single" w:color="CCCCCC" w:sz="1"/>
            </w:tcBorders>
            <w:shd w:fill="FFFBF0" w:val="clear"/>
            <w:tcMar>
              <w:top w:type="dxa" w:w="70"/>
              <w:left w:type="dxa" w:w="100"/>
              <w:bottom w:type="dxa" w:w="70"/>
              <w:right w:type="dxa" w:w="100"/>
            </w:tcMar>
            <w:vAlign w:val="center"/>
          </w:tcPr>
          <w:p>
            <w:r>
              <w:rPr>
                <w:rFonts w:ascii="Arial" w:cs="Arial" w:eastAsia="Arial" w:hAnsi="Arial"/>
                <w:b/>
                <w:bCs/>
                <w:color w:val="B7600A"/>
                <w:sz w:val="16"/>
                <w:szCs w:val="16"/>
              </w:rPr>
              <w:t xml:space="preserve">High</w:t>
            </w:r>
          </w:p>
        </w:tc>
        <w:tc>
          <w:tcPr>
            <w:tcW w:type="dxa" w:w="5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Sign Data Processing Agreements with satellite imagery vendors covering RSDP 2011</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RSDP 2011</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Week 1 post-launch</w:t>
            </w:r>
          </w:p>
        </w:tc>
      </w:tr>
      <w:tr>
        <w:tc>
          <w:tcPr>
            <w:tcW w:type="dxa" w:w="520"/>
            <w:tcBorders>
              <w:top w:val="single" w:color="CCCCCC" w:sz="1"/>
              <w:left w:val="single" w:color="CCCCCC" w:sz="1"/>
              <w:bottom w:val="single" w:color="CCCCCC" w:sz="1"/>
              <w:right w:val="single" w:color="CCCCCC" w:sz="1"/>
            </w:tcBorders>
            <w:shd w:fill="FFFBF0" w:val="clear"/>
            <w:tcMar>
              <w:top w:type="dxa" w:w="70"/>
              <w:left w:type="dxa" w:w="100"/>
              <w:bottom w:type="dxa" w:w="70"/>
              <w:right w:type="dxa" w:w="100"/>
            </w:tcMar>
            <w:vAlign w:val="center"/>
          </w:tcPr>
          <w:p>
            <w:r>
              <w:rPr>
                <w:rFonts w:ascii="Arial" w:cs="Arial" w:eastAsia="Arial" w:hAnsi="Arial"/>
                <w:b/>
                <w:bCs/>
                <w:color w:val="B7600A"/>
                <w:sz w:val="16"/>
                <w:szCs w:val="16"/>
              </w:rPr>
              <w:t xml:space="preserve">High</w:t>
            </w:r>
          </w:p>
        </w:tc>
        <w:tc>
          <w:tcPr>
            <w:tcW w:type="dxa" w:w="5640"/>
            <w:tcBorders>
              <w:top w:val="single" w:color="CCCCCC" w:sz="1"/>
              <w:left w:val="single" w:color="CCCCCC" w:sz="1"/>
              <w:bottom w:val="single" w:color="CCCCCC" w:sz="1"/>
              <w:right w:val="single" w:color="CCCCCC" w:sz="1"/>
            </w:tcBorders>
            <w:shd w:fill="F0FAF4"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Implement IDOR prevention using HMAC-signed resource tokens on all farm data endpoints</w:t>
            </w:r>
          </w:p>
        </w:tc>
        <w:tc>
          <w:tcPr>
            <w:tcW w:type="dxa" w:w="1800"/>
            <w:tcBorders>
              <w:top w:val="single" w:color="CCCCCC" w:sz="1"/>
              <w:left w:val="single" w:color="CCCCCC" w:sz="1"/>
              <w:bottom w:val="single" w:color="CCCCCC" w:sz="1"/>
              <w:right w:val="single" w:color="CCCCCC" w:sz="1"/>
            </w:tcBorders>
            <w:shd w:fill="F0FAF4"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IT Act / DPDP</w:t>
            </w:r>
          </w:p>
        </w:tc>
        <w:tc>
          <w:tcPr>
            <w:tcW w:type="dxa" w:w="1400"/>
            <w:tcBorders>
              <w:top w:val="single" w:color="CCCCCC" w:sz="1"/>
              <w:left w:val="single" w:color="CCCCCC" w:sz="1"/>
              <w:bottom w:val="single" w:color="CCCCCC" w:sz="1"/>
              <w:right w:val="single" w:color="CCCCCC" w:sz="1"/>
            </w:tcBorders>
            <w:shd w:fill="F0FAF4"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Week 1 post-launch</w:t>
            </w:r>
          </w:p>
        </w:tc>
      </w:tr>
      <w:tr>
        <w:tc>
          <w:tcPr>
            <w:tcW w:type="dxa" w:w="520"/>
            <w:tcBorders>
              <w:top w:val="single" w:color="CCCCCC" w:sz="1"/>
              <w:left w:val="single" w:color="CCCCCC" w:sz="1"/>
              <w:bottom w:val="single" w:color="CCCCCC" w:sz="1"/>
              <w:right w:val="single" w:color="CCCCCC" w:sz="1"/>
            </w:tcBorders>
            <w:shd w:fill="FFFBF0" w:val="clear"/>
            <w:tcMar>
              <w:top w:type="dxa" w:w="70"/>
              <w:left w:type="dxa" w:w="100"/>
              <w:bottom w:type="dxa" w:w="70"/>
              <w:right w:type="dxa" w:w="100"/>
            </w:tcMar>
            <w:vAlign w:val="center"/>
          </w:tcPr>
          <w:p>
            <w:r>
              <w:rPr>
                <w:rFonts w:ascii="Arial" w:cs="Arial" w:eastAsia="Arial" w:hAnsi="Arial"/>
                <w:b/>
                <w:bCs/>
                <w:color w:val="B7600A"/>
                <w:sz w:val="16"/>
                <w:szCs w:val="16"/>
              </w:rPr>
              <w:t xml:space="preserve">High</w:t>
            </w:r>
          </w:p>
        </w:tc>
        <w:tc>
          <w:tcPr>
            <w:tcW w:type="dxa" w:w="5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Build Right to Erasure API — delete or anonymise personal data within 30 days of request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DPDP Act 2023</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Month 1</w:t>
            </w:r>
          </w:p>
        </w:tc>
      </w:tr>
      <w:tr>
        <w:tc>
          <w:tcPr>
            <w:tcW w:type="dxa" w:w="520"/>
            <w:tcBorders>
              <w:top w:val="single" w:color="CCCCCC" w:sz="1"/>
              <w:left w:val="single" w:color="CCCCCC" w:sz="1"/>
              <w:bottom w:val="single" w:color="CCCCCC" w:sz="1"/>
              <w:right w:val="single" w:color="CCCCCC" w:sz="1"/>
            </w:tcBorders>
            <w:shd w:fill="FFFBF0" w:val="clear"/>
            <w:tcMar>
              <w:top w:type="dxa" w:w="70"/>
              <w:left w:type="dxa" w:w="100"/>
              <w:bottom w:type="dxa" w:w="70"/>
              <w:right w:type="dxa" w:w="100"/>
            </w:tcMar>
            <w:vAlign w:val="center"/>
          </w:tcPr>
          <w:p>
            <w:r>
              <w:rPr>
                <w:rFonts w:ascii="Arial" w:cs="Arial" w:eastAsia="Arial" w:hAnsi="Arial"/>
                <w:b/>
                <w:bCs/>
                <w:color w:val="B7600A"/>
                <w:sz w:val="16"/>
                <w:szCs w:val="16"/>
              </w:rPr>
              <w:t xml:space="preserve">High</w:t>
            </w:r>
          </w:p>
        </w:tc>
        <w:tc>
          <w:tcPr>
            <w:tcW w:type="dxa" w:w="5640"/>
            <w:tcBorders>
              <w:top w:val="single" w:color="CCCCCC" w:sz="1"/>
              <w:left w:val="single" w:color="CCCCCC" w:sz="1"/>
              <w:bottom w:val="single" w:color="CCCCCC" w:sz="1"/>
              <w:right w:val="single" w:color="CCCCCC" w:sz="1"/>
            </w:tcBorders>
            <w:shd w:fill="F0FAF4"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Implement no-fly zone coordinate validation for drone uploads</w:t>
            </w:r>
          </w:p>
        </w:tc>
        <w:tc>
          <w:tcPr>
            <w:tcW w:type="dxa" w:w="1800"/>
            <w:tcBorders>
              <w:top w:val="single" w:color="CCCCCC" w:sz="1"/>
              <w:left w:val="single" w:color="CCCCCC" w:sz="1"/>
              <w:bottom w:val="single" w:color="CCCCCC" w:sz="1"/>
              <w:right w:val="single" w:color="CCCCCC" w:sz="1"/>
            </w:tcBorders>
            <w:shd w:fill="F0FAF4"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Drone Rules 2021</w:t>
            </w:r>
          </w:p>
        </w:tc>
        <w:tc>
          <w:tcPr>
            <w:tcW w:type="dxa" w:w="1400"/>
            <w:tcBorders>
              <w:top w:val="single" w:color="CCCCCC" w:sz="1"/>
              <w:left w:val="single" w:color="CCCCCC" w:sz="1"/>
              <w:bottom w:val="single" w:color="CCCCCC" w:sz="1"/>
              <w:right w:val="single" w:color="CCCCCC" w:sz="1"/>
            </w:tcBorders>
            <w:shd w:fill="F0FAF4"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Month 1</w:t>
            </w:r>
          </w:p>
        </w:tc>
      </w:tr>
      <w:tr>
        <w:tc>
          <w:tcPr>
            <w:tcW w:type="dxa" w:w="520"/>
            <w:tcBorders>
              <w:top w:val="single" w:color="CCCCCC" w:sz="1"/>
              <w:left w:val="single" w:color="CCCCCC" w:sz="1"/>
              <w:bottom w:val="single" w:color="CCCCCC" w:sz="1"/>
              <w:right w:val="single" w:color="CCCCCC" w:sz="1"/>
            </w:tcBorders>
            <w:shd w:fill="FFFBF0" w:val="clear"/>
            <w:tcMar>
              <w:top w:type="dxa" w:w="70"/>
              <w:left w:type="dxa" w:w="100"/>
              <w:bottom w:type="dxa" w:w="70"/>
              <w:right w:type="dxa" w:w="100"/>
            </w:tcMar>
            <w:vAlign w:val="center"/>
          </w:tcPr>
          <w:p>
            <w:r>
              <w:rPr>
                <w:rFonts w:ascii="Arial" w:cs="Arial" w:eastAsia="Arial" w:hAnsi="Arial"/>
                <w:b/>
                <w:bCs/>
                <w:color w:val="B7600A"/>
                <w:sz w:val="16"/>
                <w:szCs w:val="16"/>
              </w:rPr>
              <w:t xml:space="preserve">High</w:t>
            </w:r>
          </w:p>
        </w:tc>
        <w:tc>
          <w:tcPr>
            <w:tcW w:type="dxa" w:w="5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Add data_classification: farmer_proprietary tag to all yield estimate records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Commercial sensitivity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Month 1</w:t>
            </w:r>
          </w:p>
        </w:tc>
      </w:tr>
      <w:tr>
        <w:tc>
          <w:tcPr>
            <w:tcW w:type="dxa" w:w="520"/>
            <w:tcBorders>
              <w:top w:val="single" w:color="CCCCCC" w:sz="1"/>
              <w:left w:val="single" w:color="CCCCCC" w:sz="1"/>
              <w:bottom w:val="single" w:color="CCCCCC" w:sz="1"/>
              <w:right w:val="single" w:color="CCCCCC" w:sz="1"/>
            </w:tcBorders>
            <w:shd w:fill="FFFBF0" w:val="clear"/>
            <w:tcMar>
              <w:top w:type="dxa" w:w="70"/>
              <w:left w:type="dxa" w:w="100"/>
              <w:bottom w:type="dxa" w:w="70"/>
              <w:right w:type="dxa" w:w="100"/>
            </w:tcMar>
            <w:vAlign w:val="center"/>
          </w:tcPr>
          <w:p>
            <w:r>
              <w:rPr>
                <w:rFonts w:ascii="Arial" w:cs="Arial" w:eastAsia="Arial" w:hAnsi="Arial"/>
                <w:b/>
                <w:bCs/>
                <w:color w:val="B7600A"/>
                <w:sz w:val="16"/>
                <w:szCs w:val="16"/>
              </w:rPr>
              <w:t xml:space="preserve">High</w:t>
            </w:r>
          </w:p>
        </w:tc>
        <w:tc>
          <w:tcPr>
            <w:tcW w:type="dxa" w:w="5640"/>
            <w:tcBorders>
              <w:top w:val="single" w:color="CCCCCC" w:sz="1"/>
              <w:left w:val="single" w:color="CCCCCC" w:sz="1"/>
              <w:bottom w:val="single" w:color="CCCCCC" w:sz="1"/>
              <w:right w:val="single" w:color="CCCCCC" w:sz="1"/>
            </w:tcBorders>
            <w:shd w:fill="F0FAF4"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Implement phytosanitary report anonymisation pipeline before government reporting</w:t>
            </w:r>
          </w:p>
        </w:tc>
        <w:tc>
          <w:tcPr>
            <w:tcW w:type="dxa" w:w="1800"/>
            <w:tcBorders>
              <w:top w:val="single" w:color="CCCCCC" w:sz="1"/>
              <w:left w:val="single" w:color="CCCCCC" w:sz="1"/>
              <w:bottom w:val="single" w:color="CCCCCC" w:sz="1"/>
              <w:right w:val="single" w:color="CCCCCC" w:sz="1"/>
            </w:tcBorders>
            <w:shd w:fill="F0FAF4"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State agri laws</w:t>
            </w:r>
          </w:p>
        </w:tc>
        <w:tc>
          <w:tcPr>
            <w:tcW w:type="dxa" w:w="1400"/>
            <w:tcBorders>
              <w:top w:val="single" w:color="CCCCCC" w:sz="1"/>
              <w:left w:val="single" w:color="CCCCCC" w:sz="1"/>
              <w:bottom w:val="single" w:color="CCCCCC" w:sz="1"/>
              <w:right w:val="single" w:color="CCCCCC" w:sz="1"/>
            </w:tcBorders>
            <w:shd w:fill="F0FAF4"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Month 1</w:t>
            </w:r>
          </w:p>
        </w:tc>
      </w:tr>
      <w:tr>
        <w:tc>
          <w:tcPr>
            <w:tcW w:type="dxa" w:w="5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bCs/>
                <w:color w:val="1A5276"/>
                <w:sz w:val="16"/>
                <w:szCs w:val="16"/>
              </w:rPr>
              <w:t xml:space="preserve">Medium</w:t>
            </w:r>
          </w:p>
        </w:tc>
        <w:tc>
          <w:tcPr>
            <w:tcW w:type="dxa" w:w="5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Conduct quarterly breach response tabletop exercises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CERT-In / DPDP</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Quarterly</w:t>
            </w:r>
          </w:p>
        </w:tc>
      </w:tr>
      <w:tr>
        <w:tc>
          <w:tcPr>
            <w:tcW w:type="dxa" w:w="520"/>
            <w:tcBorders>
              <w:top w:val="single" w:color="CCCCCC" w:sz="1"/>
              <w:left w:val="single" w:color="CCCCCC" w:sz="1"/>
              <w:bottom w:val="single" w:color="CCCCCC" w:sz="1"/>
              <w:right w:val="single" w:color="CCCCCC" w:sz="1"/>
            </w:tcBorders>
            <w:shd w:fill="F0FAF4" w:val="clear"/>
            <w:tcMar>
              <w:top w:type="dxa" w:w="70"/>
              <w:left w:type="dxa" w:w="100"/>
              <w:bottom w:type="dxa" w:w="70"/>
              <w:right w:type="dxa" w:w="100"/>
            </w:tcMar>
            <w:vAlign w:val="center"/>
          </w:tcPr>
          <w:p>
            <w:r>
              <w:rPr>
                <w:rFonts w:ascii="Arial" w:cs="Arial" w:eastAsia="Arial" w:hAnsi="Arial"/>
                <w:b/>
                <w:bCs/>
                <w:color w:val="1A5276"/>
                <w:sz w:val="16"/>
                <w:szCs w:val="16"/>
              </w:rPr>
              <w:t xml:space="preserve">Medium</w:t>
            </w:r>
          </w:p>
        </w:tc>
        <w:tc>
          <w:tcPr>
            <w:tcW w:type="dxa" w:w="5640"/>
            <w:tcBorders>
              <w:top w:val="single" w:color="CCCCCC" w:sz="1"/>
              <w:left w:val="single" w:color="CCCCCC" w:sz="1"/>
              <w:bottom w:val="single" w:color="CCCCCC" w:sz="1"/>
              <w:right w:val="single" w:color="CCCCCC" w:sz="1"/>
            </w:tcBorders>
            <w:shd w:fill="F0FAF4"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Audit all registration form fields for data minimisation compliance</w:t>
            </w:r>
          </w:p>
        </w:tc>
        <w:tc>
          <w:tcPr>
            <w:tcW w:type="dxa" w:w="1800"/>
            <w:tcBorders>
              <w:top w:val="single" w:color="CCCCCC" w:sz="1"/>
              <w:left w:val="single" w:color="CCCCCC" w:sz="1"/>
              <w:bottom w:val="single" w:color="CCCCCC" w:sz="1"/>
              <w:right w:val="single" w:color="CCCCCC" w:sz="1"/>
            </w:tcBorders>
            <w:shd w:fill="F0FAF4"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DPDP Act</w:t>
            </w:r>
          </w:p>
        </w:tc>
        <w:tc>
          <w:tcPr>
            <w:tcW w:type="dxa" w:w="1400"/>
            <w:tcBorders>
              <w:top w:val="single" w:color="CCCCCC" w:sz="1"/>
              <w:left w:val="single" w:color="CCCCCC" w:sz="1"/>
              <w:bottom w:val="single" w:color="CCCCCC" w:sz="1"/>
              <w:right w:val="single" w:color="CCCCCC" w:sz="1"/>
            </w:tcBorders>
            <w:shd w:fill="F0FAF4"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Month 2</w:t>
            </w:r>
          </w:p>
        </w:tc>
      </w:tr>
      <w:tr>
        <w:tc>
          <w:tcPr>
            <w:tcW w:type="dxa" w:w="5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bCs/>
                <w:color w:val="1A5276"/>
                <w:sz w:val="16"/>
                <w:szCs w:val="16"/>
              </w:rPr>
              <w:t xml:space="preserve">Medium</w:t>
            </w:r>
          </w:p>
        </w:tc>
        <w:tc>
          <w:tcPr>
            <w:tcW w:type="dxa" w:w="5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Implement aggregated-only IoT analytics for third-party use; strip farm_id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DPDP / Farm Data</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Month 2</w:t>
            </w:r>
          </w:p>
        </w:tc>
      </w:tr>
      <w:tr>
        <w:tc>
          <w:tcPr>
            <w:tcW w:type="dxa" w:w="520"/>
            <w:tcBorders>
              <w:top w:val="single" w:color="CCCCCC" w:sz="1"/>
              <w:left w:val="single" w:color="CCCCCC" w:sz="1"/>
              <w:bottom w:val="single" w:color="CCCCCC" w:sz="1"/>
              <w:right w:val="single" w:color="CCCCCC" w:sz="1"/>
            </w:tcBorders>
            <w:shd w:fill="F0FAF4" w:val="clear"/>
            <w:tcMar>
              <w:top w:type="dxa" w:w="70"/>
              <w:left w:type="dxa" w:w="100"/>
              <w:bottom w:type="dxa" w:w="70"/>
              <w:right w:type="dxa" w:w="100"/>
            </w:tcMar>
            <w:vAlign w:val="center"/>
          </w:tcPr>
          <w:p>
            <w:r>
              <w:rPr>
                <w:rFonts w:ascii="Arial" w:cs="Arial" w:eastAsia="Arial" w:hAnsi="Arial"/>
                <w:b/>
                <w:bCs/>
                <w:color w:val="1A5276"/>
                <w:sz w:val="16"/>
                <w:szCs w:val="16"/>
              </w:rPr>
              <w:t xml:space="preserve">Medium</w:t>
            </w:r>
          </w:p>
        </w:tc>
        <w:tc>
          <w:tcPr>
            <w:tcW w:type="dxa" w:w="5640"/>
            <w:tcBorders>
              <w:top w:val="single" w:color="CCCCCC" w:sz="1"/>
              <w:left w:val="single" w:color="CCCCCC" w:sz="1"/>
              <w:bottom w:val="single" w:color="CCCCCC" w:sz="1"/>
              <w:right w:val="single" w:color="CCCCCC" w:sz="1"/>
            </w:tcBorders>
            <w:shd w:fill="F0FAF4"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Review satellite imagery resolution — obtain central govt approval for &lt;1m imagery</w:t>
            </w:r>
          </w:p>
        </w:tc>
        <w:tc>
          <w:tcPr>
            <w:tcW w:type="dxa" w:w="1800"/>
            <w:tcBorders>
              <w:top w:val="single" w:color="CCCCCC" w:sz="1"/>
              <w:left w:val="single" w:color="CCCCCC" w:sz="1"/>
              <w:bottom w:val="single" w:color="CCCCCC" w:sz="1"/>
              <w:right w:val="single" w:color="CCCCCC" w:sz="1"/>
            </w:tcBorders>
            <w:shd w:fill="F0FAF4"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RSDP 2011</w:t>
            </w:r>
          </w:p>
        </w:tc>
        <w:tc>
          <w:tcPr>
            <w:tcW w:type="dxa" w:w="1400"/>
            <w:tcBorders>
              <w:top w:val="single" w:color="CCCCCC" w:sz="1"/>
              <w:left w:val="single" w:color="CCCCCC" w:sz="1"/>
              <w:bottom w:val="single" w:color="CCCCCC" w:sz="1"/>
              <w:right w:val="single" w:color="CCCCCC" w:sz="1"/>
            </w:tcBorders>
            <w:shd w:fill="F0FAF4" w:val="clear"/>
            <w:tcMar>
              <w:top w:type="dxa" w:w="70"/>
              <w:left w:type="dxa" w:w="100"/>
              <w:bottom w:type="dxa" w:w="70"/>
              <w:right w:type="dxa" w:w="100"/>
            </w:tcMar>
            <w:vAlign w:val="center"/>
          </w:tcPr>
          <w:p>
            <w:r>
              <w:rPr>
                <w:rFonts w:ascii="Arial" w:cs="Arial" w:eastAsia="Arial" w:hAnsi="Arial"/>
                <w:b w:val="false"/>
                <w:bCs w:val="false"/>
                <w:color w:val="1A1A2E"/>
                <w:sz w:val="16"/>
                <w:szCs w:val="16"/>
              </w:rPr>
              <w:t xml:space="preserve">Month 2</w:t>
            </w:r>
          </w:p>
        </w:tc>
      </w:tr>
    </w:tbl>
    <w:p>
      <w:r>
        <w:t xml:space="preserve"/>
      </w:r>
    </w:p>
    <w:p>
      <w:r>
        <w:t xml:space="preserve"/>
      </w:r>
    </w:p>
    <w:p>
      <w:r>
        <w:br w:type="page"/>
      </w:r>
    </w:p>
    <w:p>
      <w:pPr>
        <w:pStyle w:val="Heading1"/>
        <w:spacing w:after="160" w:before="360"/>
      </w:pPr>
      <w:r>
        <w:rPr>
          <w:rFonts w:ascii="Arial" w:cs="Arial" w:eastAsia="Arial" w:hAnsi="Arial"/>
          <w:b/>
          <w:bCs/>
          <w:color w:val="1B4332"/>
          <w:sz w:val="36"/>
          <w:szCs w:val="36"/>
        </w:rPr>
        <w:t xml:space="preserve">8. How To Perform — Key Implementation Samples</w:t>
      </w:r>
    </w:p>
    <w:p>
      <w:pPr>
        <w:pBdr>
          <w:bottom w:val="single" w:color="52B788" w:sz="6" w:space="1"/>
        </w:pBdr>
        <w:spacing w:after="60" w:before="60"/>
      </w:pPr>
      <w:r>
        <w:t xml:space="preserve"/>
      </w:r>
    </w:p>
    <w:p>
      <w:r>
        <w:t xml:space="preserve"/>
      </w:r>
    </w:p>
    <w:p>
      <w:pPr>
        <w:spacing w:after="60" w:before="60"/>
        <w:jc w:val="left"/>
      </w:pPr>
      <w:r>
        <w:rPr>
          <w:rFonts w:ascii="Arial" w:cs="Arial" w:eastAsia="Arial" w:hAnsi="Arial"/>
          <w:color w:val="1A1A2E"/>
          <w:sz w:val="20"/>
          <w:szCs w:val="20"/>
        </w:rPr>
        <w:t xml:space="preserve">This section provides concrete implementation starting points for the most critical controls. All code assumes Node.js + Express + MongoDB (Mongoose) stack.</w:t>
      </w:r>
    </w:p>
    <w:p>
      <w:r>
        <w:t xml:space="preserve"/>
      </w:r>
    </w:p>
    <w:p>
      <w:pPr>
        <w:pStyle w:val="Heading2"/>
        <w:spacing w:after="120" w:before="280"/>
      </w:pPr>
      <w:r>
        <w:rPr>
          <w:rFonts w:ascii="Arial" w:cs="Arial" w:eastAsia="Arial" w:hAnsi="Arial"/>
          <w:b/>
          <w:bCs/>
          <w:color w:val="2D6A4F"/>
          <w:sz w:val="28"/>
          <w:szCs w:val="28"/>
        </w:rPr>
        <w:t xml:space="preserve">8.1 DPDP Consent Module — MongoDB Schema</w:t>
      </w:r>
    </w:p>
    <w:p>
      <w:pPr>
        <w:shd w:fill="1E1E1E" w:val="clear"/>
        <w:spacing w:after="40" w:before="40"/>
      </w:pPr>
      <w:r>
        <w:rPr>
          <w:rFonts w:ascii="Courier New" w:cs="Courier New" w:eastAsia="Courier New" w:hAnsi="Courier New"/>
          <w:color w:val="00FF7F"/>
          <w:sz w:val="17"/>
          <w:szCs w:val="17"/>
        </w:rPr>
        <w:t xml:space="preserve">// models/ConsentLog.js</w:t>
      </w:r>
    </w:p>
    <w:p>
      <w:pPr>
        <w:shd w:fill="1E1E1E" w:val="clear"/>
        <w:spacing w:after="40" w:before="40"/>
      </w:pPr>
      <w:r>
        <w:rPr>
          <w:rFonts w:ascii="Courier New" w:cs="Courier New" w:eastAsia="Courier New" w:hAnsi="Courier New"/>
          <w:color w:val="00FF7F"/>
          <w:sz w:val="17"/>
          <w:szCs w:val="17"/>
        </w:rPr>
        <w:t xml:space="preserve">const consentSchema = new mongoose.Schema({</w:t>
      </w:r>
    </w:p>
    <w:p>
      <w:pPr>
        <w:shd w:fill="1E1E1E" w:val="clear"/>
        <w:spacing w:after="40" w:before="40"/>
      </w:pPr>
      <w:r>
        <w:rPr>
          <w:rFonts w:ascii="Courier New" w:cs="Courier New" w:eastAsia="Courier New" w:hAnsi="Courier New"/>
          <w:color w:val="00FF7F"/>
          <w:sz w:val="17"/>
          <w:szCs w:val="17"/>
        </w:rPr>
        <w:t xml:space="preserve">  user_id: { type: ObjectId, required: true, index: true },</w:t>
      </w:r>
    </w:p>
    <w:p>
      <w:pPr>
        <w:shd w:fill="1E1E1E" w:val="clear"/>
        <w:spacing w:after="40" w:before="40"/>
      </w:pPr>
      <w:r>
        <w:rPr>
          <w:rFonts w:ascii="Courier New" w:cs="Courier New" w:eastAsia="Courier New" w:hAnsi="Courier New"/>
          <w:color w:val="00FF7F"/>
          <w:sz w:val="17"/>
          <w:szCs w:val="17"/>
        </w:rPr>
        <w:t xml:space="preserve">  data_type: { type: String, enum: ['aadhaar_kyc','bank_details','gps_boundary','drone_imagery','yield_data'], required: true },</w:t>
      </w:r>
    </w:p>
    <w:p>
      <w:pPr>
        <w:shd w:fill="1E1E1E" w:val="clear"/>
        <w:spacing w:after="40" w:before="40"/>
      </w:pPr>
      <w:r>
        <w:rPr>
          <w:rFonts w:ascii="Courier New" w:cs="Courier New" w:eastAsia="Courier New" w:hAnsi="Courier New"/>
          <w:color w:val="00FF7F"/>
          <w:sz w:val="17"/>
          <w:szCs w:val="17"/>
        </w:rPr>
        <w:t xml:space="preserve">  purpose: { type: String, required: true },</w:t>
      </w:r>
    </w:p>
    <w:p>
      <w:pPr>
        <w:shd w:fill="1E1E1E" w:val="clear"/>
        <w:spacing w:after="40" w:before="40"/>
      </w:pPr>
      <w:r>
        <w:rPr>
          <w:rFonts w:ascii="Courier New" w:cs="Courier New" w:eastAsia="Courier New" w:hAnsi="Courier New"/>
          <w:color w:val="00FF7F"/>
          <w:sz w:val="17"/>
          <w:szCs w:val="17"/>
        </w:rPr>
        <w:t xml:space="preserve">  consented: { type: Boolean, required: true },</w:t>
      </w:r>
    </w:p>
    <w:p>
      <w:pPr>
        <w:shd w:fill="1E1E1E" w:val="clear"/>
        <w:spacing w:after="40" w:before="40"/>
      </w:pPr>
      <w:r>
        <w:rPr>
          <w:rFonts w:ascii="Courier New" w:cs="Courier New" w:eastAsia="Courier New" w:hAnsi="Courier New"/>
          <w:color w:val="00FF7F"/>
          <w:sz w:val="17"/>
          <w:szCs w:val="17"/>
        </w:rPr>
        <w:t xml:space="preserve">  ip_address: { type: String, required: true },</w:t>
      </w:r>
    </w:p>
    <w:p>
      <w:pPr>
        <w:shd w:fill="1E1E1E" w:val="clear"/>
        <w:spacing w:after="40" w:before="40"/>
      </w:pPr>
      <w:r>
        <w:rPr>
          <w:rFonts w:ascii="Courier New" w:cs="Courier New" w:eastAsia="Courier New" w:hAnsi="Courier New"/>
          <w:color w:val="00FF7F"/>
          <w:sz w:val="17"/>
          <w:szCs w:val="17"/>
        </w:rPr>
        <w:t xml:space="preserve">  user_agent: String,</w:t>
      </w:r>
    </w:p>
    <w:p>
      <w:pPr>
        <w:shd w:fill="1E1E1E" w:val="clear"/>
        <w:spacing w:after="40" w:before="40"/>
      </w:pPr>
      <w:r>
        <w:rPr>
          <w:rFonts w:ascii="Courier New" w:cs="Courier New" w:eastAsia="Courier New" w:hAnsi="Courier New"/>
          <w:color w:val="00FF7F"/>
          <w:sz w:val="17"/>
          <w:szCs w:val="17"/>
        </w:rPr>
        <w:t xml:space="preserve">  timestamp: { type: Date, default: Date.now, immutable: true }</w:t>
      </w:r>
    </w:p>
    <w:p>
      <w:pPr>
        <w:shd w:fill="1E1E1E" w:val="clear"/>
        <w:spacing w:after="40" w:before="40"/>
      </w:pPr>
      <w:r>
        <w:rPr>
          <w:rFonts w:ascii="Courier New" w:cs="Courier New" w:eastAsia="Courier New" w:hAnsi="Courier New"/>
          <w:color w:val="00FF7F"/>
          <w:sz w:val="17"/>
          <w:szCs w:val="17"/>
        </w:rPr>
        <w:t xml:space="preserve">}, { timestamps: false });</w:t>
      </w:r>
    </w:p>
    <w:p>
      <w:pPr>
        <w:shd w:fill="1E1E1E" w:val="clear"/>
        <w:spacing w:after="40" w:before="40"/>
      </w:pPr>
      <w:r>
        <w:rPr>
          <w:rFonts w:ascii="Courier New" w:cs="Courier New" w:eastAsia="Courier New" w:hAnsi="Courier New"/>
          <w:color w:val="00FF7F"/>
          <w:sz w:val="17"/>
          <w:szCs w:val="17"/>
        </w:rPr>
        <w:t xml:space="preserve">// Make collection append-only — no updates or deletes</w:t>
      </w:r>
    </w:p>
    <w:p>
      <w:pPr>
        <w:shd w:fill="1E1E1E" w:val="clear"/>
        <w:spacing w:after="40" w:before="40"/>
      </w:pPr>
      <w:r>
        <w:rPr>
          <w:rFonts w:ascii="Courier New" w:cs="Courier New" w:eastAsia="Courier New" w:hAnsi="Courier New"/>
          <w:color w:val="00FF7F"/>
          <w:sz w:val="17"/>
          <w:szCs w:val="17"/>
        </w:rPr>
        <w:t xml:space="preserve">consentSchema.pre(['updateOne','deleteOne'], function() { throw new Error('ConsentLog is immutable'); });</w:t>
      </w:r>
    </w:p>
    <w:p>
      <w:r>
        <w:t xml:space="preserve"/>
      </w:r>
    </w:p>
    <w:p>
      <w:pPr>
        <w:pStyle w:val="Heading2"/>
        <w:spacing w:after="120" w:before="280"/>
      </w:pPr>
      <w:r>
        <w:rPr>
          <w:rFonts w:ascii="Arial" w:cs="Arial" w:eastAsia="Arial" w:hAnsi="Arial"/>
          <w:b/>
          <w:bCs/>
          <w:color w:val="2D6A4F"/>
          <w:sz w:val="28"/>
          <w:szCs w:val="28"/>
        </w:rPr>
        <w:t xml:space="preserve">8.2 AES-256-GCM Field Encryption for Bank Account</w:t>
      </w:r>
    </w:p>
    <w:p>
      <w:pPr>
        <w:shd w:fill="1E1E1E" w:val="clear"/>
        <w:spacing w:after="40" w:before="40"/>
      </w:pPr>
      <w:r>
        <w:rPr>
          <w:rFonts w:ascii="Courier New" w:cs="Courier New" w:eastAsia="Courier New" w:hAnsi="Courier New"/>
          <w:color w:val="00FF7F"/>
          <w:sz w:val="17"/>
          <w:szCs w:val="17"/>
        </w:rPr>
        <w:t xml:space="preserve">const crypto = require('crypto');</w:t>
      </w:r>
    </w:p>
    <w:p>
      <w:pPr>
        <w:shd w:fill="1E1E1E" w:val="clear"/>
        <w:spacing w:after="40" w:before="40"/>
      </w:pPr>
      <w:r>
        <w:rPr>
          <w:rFonts w:ascii="Courier New" w:cs="Courier New" w:eastAsia="Courier New" w:hAnsi="Courier New"/>
          <w:color w:val="00FF7F"/>
          <w:sz w:val="17"/>
          <w:szCs w:val="17"/>
        </w:rPr>
        <w:t xml:space="preserve">const ALGO = 'aes-256-gcm', KEY = Buffer.from(process.env.FIELD_ENCRYPT_KEY, 'hex');</w:t>
      </w:r>
    </w:p>
    <w:p>
      <w:pPr>
        <w:shd w:fill="1E1E1E" w:val="clear"/>
        <w:spacing w:after="40" w:before="40"/>
      </w:pPr>
      <w:r>
        <w:rPr>
          <w:rFonts w:ascii="Courier New" w:cs="Courier New" w:eastAsia="Courier New" w:hAnsi="Courier New"/>
          <w:color w:val="00FF7F"/>
          <w:sz w:val="17"/>
          <w:szCs w:val="17"/>
        </w:rPr>
        <w:t xml:space="preserve">function encrypt(text) {</w:t>
      </w:r>
    </w:p>
    <w:p>
      <w:pPr>
        <w:shd w:fill="1E1E1E" w:val="clear"/>
        <w:spacing w:after="40" w:before="40"/>
      </w:pPr>
      <w:r>
        <w:rPr>
          <w:rFonts w:ascii="Courier New" w:cs="Courier New" w:eastAsia="Courier New" w:hAnsi="Courier New"/>
          <w:color w:val="00FF7F"/>
          <w:sz w:val="17"/>
          <w:szCs w:val="17"/>
        </w:rPr>
        <w:t xml:space="preserve">  const iv = crypto.randomBytes(12);</w:t>
      </w:r>
    </w:p>
    <w:p>
      <w:pPr>
        <w:shd w:fill="1E1E1E" w:val="clear"/>
        <w:spacing w:after="40" w:before="40"/>
      </w:pPr>
      <w:r>
        <w:rPr>
          <w:rFonts w:ascii="Courier New" w:cs="Courier New" w:eastAsia="Courier New" w:hAnsi="Courier New"/>
          <w:color w:val="00FF7F"/>
          <w:sz w:val="17"/>
          <w:szCs w:val="17"/>
        </w:rPr>
        <w:t xml:space="preserve">  const cipher = crypto.createCipheriv(ALGO, KEY, iv);</w:t>
      </w:r>
    </w:p>
    <w:p>
      <w:pPr>
        <w:shd w:fill="1E1E1E" w:val="clear"/>
        <w:spacing w:after="40" w:before="40"/>
      </w:pPr>
      <w:r>
        <w:rPr>
          <w:rFonts w:ascii="Courier New" w:cs="Courier New" w:eastAsia="Courier New" w:hAnsi="Courier New"/>
          <w:color w:val="00FF7F"/>
          <w:sz w:val="17"/>
          <w:szCs w:val="17"/>
        </w:rPr>
        <w:t xml:space="preserve">  const enc = Buffer.concat([cipher.update(text, 'utf8'), cipher.final()]);</w:t>
      </w:r>
    </w:p>
    <w:p>
      <w:pPr>
        <w:shd w:fill="1E1E1E" w:val="clear"/>
        <w:spacing w:after="40" w:before="40"/>
      </w:pPr>
      <w:r>
        <w:rPr>
          <w:rFonts w:ascii="Courier New" w:cs="Courier New" w:eastAsia="Courier New" w:hAnsi="Courier New"/>
          <w:color w:val="00FF7F"/>
          <w:sz w:val="17"/>
          <w:szCs w:val="17"/>
        </w:rPr>
        <w:t xml:space="preserve">  return iv.toString('hex') + ':' + enc.toString('hex') + ':' + cipher.getAuthTag().toString('hex');</w:t>
      </w:r>
    </w:p>
    <w:p>
      <w:pPr>
        <w:shd w:fill="1E1E1E" w:val="clear"/>
        <w:spacing w:after="40" w:before="40"/>
      </w:pPr>
      <w:r>
        <w:rPr>
          <w:rFonts w:ascii="Courier New" w:cs="Courier New" w:eastAsia="Courier New" w:hAnsi="Courier New"/>
          <w:color w:val="00FF7F"/>
          <w:sz w:val="17"/>
          <w:szCs w:val="17"/>
        </w:rPr>
        <w:t xml:space="preserve">}</w:t>
      </w:r>
    </w:p>
    <w:p>
      <w:pPr>
        <w:shd w:fill="1E1E1E" w:val="clear"/>
        <w:spacing w:after="40" w:before="40"/>
      </w:pPr>
      <w:r>
        <w:rPr>
          <w:rFonts w:ascii="Courier New" w:cs="Courier New" w:eastAsia="Courier New" w:hAnsi="Courier New"/>
          <w:color w:val="00FF7F"/>
          <w:sz w:val="17"/>
          <w:szCs w:val="17"/>
        </w:rPr>
        <w:t xml:space="preserve">function decrypt(payload) {</w:t>
      </w:r>
    </w:p>
    <w:p>
      <w:pPr>
        <w:shd w:fill="1E1E1E" w:val="clear"/>
        <w:spacing w:after="40" w:before="40"/>
      </w:pPr>
      <w:r>
        <w:rPr>
          <w:rFonts w:ascii="Courier New" w:cs="Courier New" w:eastAsia="Courier New" w:hAnsi="Courier New"/>
          <w:color w:val="00FF7F"/>
          <w:sz w:val="17"/>
          <w:szCs w:val="17"/>
        </w:rPr>
        <w:t xml:space="preserve">  const [ivHex, encHex, tagHex] = payload.split(':');</w:t>
      </w:r>
    </w:p>
    <w:p>
      <w:pPr>
        <w:shd w:fill="1E1E1E" w:val="clear"/>
        <w:spacing w:after="40" w:before="40"/>
      </w:pPr>
      <w:r>
        <w:rPr>
          <w:rFonts w:ascii="Courier New" w:cs="Courier New" w:eastAsia="Courier New" w:hAnsi="Courier New"/>
          <w:color w:val="00FF7F"/>
          <w:sz w:val="17"/>
          <w:szCs w:val="17"/>
        </w:rPr>
        <w:t xml:space="preserve">  const decipher = crypto.createDecipheriv(ALGO, KEY, Buffer.from(ivHex,'hex'));</w:t>
      </w:r>
    </w:p>
    <w:p>
      <w:pPr>
        <w:shd w:fill="1E1E1E" w:val="clear"/>
        <w:spacing w:after="40" w:before="40"/>
      </w:pPr>
      <w:r>
        <w:rPr>
          <w:rFonts w:ascii="Courier New" w:cs="Courier New" w:eastAsia="Courier New" w:hAnsi="Courier New"/>
          <w:color w:val="00FF7F"/>
          <w:sz w:val="17"/>
          <w:szCs w:val="17"/>
        </w:rPr>
        <w:t xml:space="preserve">  decipher.setAuthTag(Buffer.from(tagHex,'hex'));</w:t>
      </w:r>
    </w:p>
    <w:p>
      <w:pPr>
        <w:shd w:fill="1E1E1E" w:val="clear"/>
        <w:spacing w:after="40" w:before="40"/>
      </w:pPr>
      <w:r>
        <w:rPr>
          <w:rFonts w:ascii="Courier New" w:cs="Courier New" w:eastAsia="Courier New" w:hAnsi="Courier New"/>
          <w:color w:val="00FF7F"/>
          <w:sz w:val="17"/>
          <w:szCs w:val="17"/>
        </w:rPr>
        <w:t xml:space="preserve">  return Buffer.concat([decipher.update(Buffer.from(encHex,'hex')), decipher.final()]).toString('utf8');</w:t>
      </w:r>
    </w:p>
    <w:p>
      <w:pPr>
        <w:shd w:fill="1E1E1E" w:val="clear"/>
        <w:spacing w:after="40" w:before="40"/>
      </w:pPr>
      <w:r>
        <w:rPr>
          <w:rFonts w:ascii="Courier New" w:cs="Courier New" w:eastAsia="Courier New" w:hAnsi="Courier New"/>
          <w:color w:val="00FF7F"/>
          <w:sz w:val="17"/>
          <w:szCs w:val="17"/>
        </w:rPr>
        <w:t xml:space="preserve">}</w:t>
      </w:r>
    </w:p>
    <w:p>
      <w:r>
        <w:t xml:space="preserve"/>
      </w:r>
    </w:p>
    <w:p>
      <w:pPr>
        <w:pStyle w:val="Heading2"/>
        <w:spacing w:after="120" w:before="280"/>
      </w:pPr>
      <w:r>
        <w:rPr>
          <w:rFonts w:ascii="Arial" w:cs="Arial" w:eastAsia="Arial" w:hAnsi="Arial"/>
          <w:b/>
          <w:bCs/>
          <w:color w:val="2D6A4F"/>
          <w:sz w:val="28"/>
          <w:szCs w:val="28"/>
        </w:rPr>
        <w:t xml:space="preserve">8.3 S3 Pre-Signed URL — Private Farm Imagery Access</w:t>
      </w:r>
    </w:p>
    <w:p>
      <w:pPr>
        <w:shd w:fill="1E1E1E" w:val="clear"/>
        <w:spacing w:after="40" w:before="40"/>
      </w:pPr>
      <w:r>
        <w:rPr>
          <w:rFonts w:ascii="Courier New" w:cs="Courier New" w:eastAsia="Courier New" w:hAnsi="Courier New"/>
          <w:color w:val="00FF7F"/>
          <w:sz w:val="17"/>
          <w:szCs w:val="17"/>
        </w:rPr>
        <w:t xml:space="preserve">const { S3Client, GetObjectCommand } = require('@aws-sdk/client-s3');</w:t>
      </w:r>
    </w:p>
    <w:p>
      <w:pPr>
        <w:shd w:fill="1E1E1E" w:val="clear"/>
        <w:spacing w:after="40" w:before="40"/>
      </w:pPr>
      <w:r>
        <w:rPr>
          <w:rFonts w:ascii="Courier New" w:cs="Courier New" w:eastAsia="Courier New" w:hAnsi="Courier New"/>
          <w:color w:val="00FF7F"/>
          <w:sz w:val="17"/>
          <w:szCs w:val="17"/>
        </w:rPr>
        <w:t xml:space="preserve">const { getSignedUrl } = require('@aws-sdk/s3-request-presigner');</w:t>
      </w:r>
    </w:p>
    <w:p>
      <w:pPr>
        <w:shd w:fill="1E1E1E" w:val="clear"/>
        <w:spacing w:after="40" w:before="40"/>
      </w:pPr>
      <w:r>
        <w:rPr>
          <w:rFonts w:ascii="Courier New" w:cs="Courier New" w:eastAsia="Courier New" w:hAnsi="Courier New"/>
          <w:color w:val="00FF7F"/>
          <w:sz w:val="17"/>
          <w:szCs w:val="17"/>
        </w:rPr>
        <w:t xml:space="preserve">const s3 = new S3Client({ region: 'ap-south-1' }); // India region mandatory</w:t>
      </w:r>
    </w:p>
    <w:p>
      <w:pPr>
        <w:shd w:fill="1E1E1E" w:val="clear"/>
        <w:spacing w:after="40" w:before="40"/>
      </w:pPr>
      <w:r>
        <w:rPr>
          <w:rFonts w:ascii="Courier New" w:cs="Courier New" w:eastAsia="Courier New" w:hAnsi="Courier New"/>
          <w:color w:val="00FF7F"/>
          <w:sz w:val="17"/>
          <w:szCs w:val="17"/>
        </w:rPr>
        <w:t xml:space="preserve">async function getFarmImageUrl(farm_id, filename, requestingUserId) {</w:t>
      </w:r>
    </w:p>
    <w:p>
      <w:pPr>
        <w:shd w:fill="1E1E1E" w:val="clear"/>
        <w:spacing w:after="40" w:before="40"/>
      </w:pPr>
      <w:r>
        <w:rPr>
          <w:rFonts w:ascii="Courier New" w:cs="Courier New" w:eastAsia="Courier New" w:hAnsi="Courier New"/>
          <w:color w:val="00FF7F"/>
          <w:sz w:val="17"/>
          <w:szCs w:val="17"/>
        </w:rPr>
        <w:t xml:space="preserve">  const farm = await Farm.findById(farm_id);</w:t>
      </w:r>
    </w:p>
    <w:p>
      <w:pPr>
        <w:shd w:fill="1E1E1E" w:val="clear"/>
        <w:spacing w:after="40" w:before="40"/>
      </w:pPr>
      <w:r>
        <w:rPr>
          <w:rFonts w:ascii="Courier New" w:cs="Courier New" w:eastAsia="Courier New" w:hAnsi="Courier New"/>
          <w:color w:val="00FF7F"/>
          <w:sz w:val="17"/>
          <w:szCs w:val="17"/>
        </w:rPr>
        <w:t xml:space="preserve">  if (!farm || farm.farmer_id.toString() !== requestingUserId) throw new Error('Forbidden');</w:t>
      </w:r>
    </w:p>
    <w:p>
      <w:pPr>
        <w:shd w:fill="1E1E1E" w:val="clear"/>
        <w:spacing w:after="40" w:before="40"/>
      </w:pPr>
      <w:r>
        <w:rPr>
          <w:rFonts w:ascii="Courier New" w:cs="Courier New" w:eastAsia="Courier New" w:hAnsi="Courier New"/>
          <w:color w:val="00FF7F"/>
          <w:sz w:val="17"/>
          <w:szCs w:val="17"/>
        </w:rPr>
        <w:t xml:space="preserve">  const cmd = new GetObjectCommand({ Bucket: 'eartigo-farm-intelligence', Key: `farms/${farm_id}/${filename}` });</w:t>
      </w:r>
    </w:p>
    <w:p>
      <w:pPr>
        <w:shd w:fill="1E1E1E" w:val="clear"/>
        <w:spacing w:after="40" w:before="40"/>
      </w:pPr>
      <w:r>
        <w:rPr>
          <w:rFonts w:ascii="Courier New" w:cs="Courier New" w:eastAsia="Courier New" w:hAnsi="Courier New"/>
          <w:color w:val="00FF7F"/>
          <w:sz w:val="17"/>
          <w:szCs w:val="17"/>
        </w:rPr>
        <w:t xml:space="preserve">  return getSignedUrl(s3, cmd, { expiresIn: 900 }); // 15-minute expiry</w:t>
      </w:r>
    </w:p>
    <w:p>
      <w:pPr>
        <w:shd w:fill="1E1E1E" w:val="clear"/>
        <w:spacing w:after="40" w:before="40"/>
      </w:pPr>
      <w:r>
        <w:rPr>
          <w:rFonts w:ascii="Courier New" w:cs="Courier New" w:eastAsia="Courier New" w:hAnsi="Courier New"/>
          <w:color w:val="00FF7F"/>
          <w:sz w:val="17"/>
          <w:szCs w:val="17"/>
        </w:rPr>
        <w:t xml:space="preserve">}</w:t>
      </w:r>
    </w:p>
    <w:p>
      <w:r>
        <w:t xml:space="preserve"/>
      </w:r>
    </w:p>
    <w:p>
      <w:pPr>
        <w:pStyle w:val="Heading2"/>
        <w:spacing w:after="120" w:before="280"/>
      </w:pPr>
      <w:r>
        <w:rPr>
          <w:rFonts w:ascii="Arial" w:cs="Arial" w:eastAsia="Arial" w:hAnsi="Arial"/>
          <w:b/>
          <w:bCs/>
          <w:color w:val="2D6A4F"/>
          <w:sz w:val="28"/>
          <w:szCs w:val="28"/>
        </w:rPr>
        <w:t xml:space="preserve">8.4 IDOR Guard Middleware — Farm Data</w:t>
      </w:r>
    </w:p>
    <w:p>
      <w:pPr>
        <w:shd w:fill="1E1E1E" w:val="clear"/>
        <w:spacing w:after="40" w:before="40"/>
      </w:pPr>
      <w:r>
        <w:rPr>
          <w:rFonts w:ascii="Courier New" w:cs="Courier New" w:eastAsia="Courier New" w:hAnsi="Courier New"/>
          <w:color w:val="00FF7F"/>
          <w:sz w:val="17"/>
          <w:szCs w:val="17"/>
        </w:rPr>
        <w:t xml:space="preserve">// middleware/ownFarmOnly.js</w:t>
      </w:r>
    </w:p>
    <w:p>
      <w:pPr>
        <w:shd w:fill="1E1E1E" w:val="clear"/>
        <w:spacing w:after="40" w:before="40"/>
      </w:pPr>
      <w:r>
        <w:rPr>
          <w:rFonts w:ascii="Courier New" w:cs="Courier New" w:eastAsia="Courier New" w:hAnsi="Courier New"/>
          <w:color w:val="00FF7F"/>
          <w:sz w:val="17"/>
          <w:szCs w:val="17"/>
        </w:rPr>
        <w:t xml:space="preserve">module.exports = async function ownFarmOnly(req, res, next) {</w:t>
      </w:r>
    </w:p>
    <w:p>
      <w:pPr>
        <w:shd w:fill="1E1E1E" w:val="clear"/>
        <w:spacing w:after="40" w:before="40"/>
      </w:pPr>
      <w:r>
        <w:rPr>
          <w:rFonts w:ascii="Courier New" w:cs="Courier New" w:eastAsia="Courier New" w:hAnsi="Courier New"/>
          <w:color w:val="00FF7F"/>
          <w:sz w:val="17"/>
          <w:szCs w:val="17"/>
        </w:rPr>
        <w:t xml:space="preserve">  try {</w:t>
      </w:r>
    </w:p>
    <w:p>
      <w:pPr>
        <w:shd w:fill="1E1E1E" w:val="clear"/>
        <w:spacing w:after="40" w:before="40"/>
      </w:pPr>
      <w:r>
        <w:rPr>
          <w:rFonts w:ascii="Courier New" w:cs="Courier New" w:eastAsia="Courier New" w:hAnsi="Courier New"/>
          <w:color w:val="00FF7F"/>
          <w:sz w:val="17"/>
          <w:szCs w:val="17"/>
        </w:rPr>
        <w:t xml:space="preserve">    const farm = await Farm.findById(req.params.farmId).select('farmer_id');</w:t>
      </w:r>
    </w:p>
    <w:p>
      <w:pPr>
        <w:shd w:fill="1E1E1E" w:val="clear"/>
        <w:spacing w:after="40" w:before="40"/>
      </w:pPr>
      <w:r>
        <w:rPr>
          <w:rFonts w:ascii="Courier New" w:cs="Courier New" w:eastAsia="Courier New" w:hAnsi="Courier New"/>
          <w:color w:val="00FF7F"/>
          <w:sz w:val="17"/>
          <w:szCs w:val="17"/>
        </w:rPr>
        <w:t xml:space="preserve">    if (!farm) return res.status(404).json({ error: 'Not found' });</w:t>
      </w:r>
    </w:p>
    <w:p>
      <w:pPr>
        <w:shd w:fill="1E1E1E" w:val="clear"/>
        <w:spacing w:after="40" w:before="40"/>
      </w:pPr>
      <w:r>
        <w:rPr>
          <w:rFonts w:ascii="Courier New" w:cs="Courier New" w:eastAsia="Courier New" w:hAnsi="Courier New"/>
          <w:color w:val="00FF7F"/>
          <w:sz w:val="17"/>
          <w:szCs w:val="17"/>
        </w:rPr>
        <w:t xml:space="preserve">    if (farm.farmer_id.toString() !== req.user.id) return res.status(403).json({ error: 'Forbidden' });</w:t>
      </w:r>
    </w:p>
    <w:p>
      <w:pPr>
        <w:shd w:fill="1E1E1E" w:val="clear"/>
        <w:spacing w:after="40" w:before="40"/>
      </w:pPr>
      <w:r>
        <w:rPr>
          <w:rFonts w:ascii="Courier New" w:cs="Courier New" w:eastAsia="Courier New" w:hAnsi="Courier New"/>
          <w:color w:val="00FF7F"/>
          <w:sz w:val="17"/>
          <w:szCs w:val="17"/>
        </w:rPr>
        <w:t xml:space="preserve">    next();</w:t>
      </w:r>
    </w:p>
    <w:p>
      <w:pPr>
        <w:shd w:fill="1E1E1E" w:val="clear"/>
        <w:spacing w:after="40" w:before="40"/>
      </w:pPr>
      <w:r>
        <w:rPr>
          <w:rFonts w:ascii="Courier New" w:cs="Courier New" w:eastAsia="Courier New" w:hAnsi="Courier New"/>
          <w:color w:val="00FF7F"/>
          <w:sz w:val="17"/>
          <w:szCs w:val="17"/>
        </w:rPr>
        <w:t xml:space="preserve">  } catch { res.status(500).json({ error: 'Server error' }); }</w:t>
      </w:r>
    </w:p>
    <w:p>
      <w:pPr>
        <w:shd w:fill="1E1E1E" w:val="clear"/>
        <w:spacing w:after="40" w:before="40"/>
      </w:pPr>
      <w:r>
        <w:rPr>
          <w:rFonts w:ascii="Courier New" w:cs="Courier New" w:eastAsia="Courier New" w:hAnsi="Courier New"/>
          <w:color w:val="00FF7F"/>
          <w:sz w:val="17"/>
          <w:szCs w:val="17"/>
        </w:rPr>
        <w:t xml:space="preserve">};</w:t>
      </w:r>
    </w:p>
    <w:p>
      <w:r>
        <w:t xml:space="preserve"/>
      </w:r>
    </w:p>
    <w:p>
      <w:r>
        <w:t xml:space="preserve"/>
      </w:r>
    </w:p>
    <w:p>
      <w:r>
        <w:br w:type="page"/>
      </w:r>
    </w:p>
    <w:p>
      <w:pPr>
        <w:pStyle w:val="Heading1"/>
        <w:spacing w:after="160" w:before="360"/>
      </w:pPr>
      <w:r>
        <w:rPr>
          <w:rFonts w:ascii="Arial" w:cs="Arial" w:eastAsia="Arial" w:hAnsi="Arial"/>
          <w:b/>
          <w:bCs/>
          <w:color w:val="1B4332"/>
          <w:sz w:val="36"/>
          <w:szCs w:val="36"/>
        </w:rPr>
        <w:t xml:space="preserve">9. Data Localisation &amp; Cross-Border Transfer Check</w:t>
      </w:r>
    </w:p>
    <w:p>
      <w:pPr>
        <w:pBdr>
          <w:bottom w:val="single" w:color="52B788" w:sz="6" w:space="1"/>
        </w:pBdr>
        <w:spacing w:after="60" w:before="60"/>
      </w:pPr>
      <w:r>
        <w:t xml:space="preserve"/>
      </w:r>
    </w:p>
    <w:p>
      <w:r>
        <w:t xml:space="preserve"/>
      </w:r>
    </w:p>
    <w:p>
      <w:pPr>
        <w:spacing w:after="60" w:before="60"/>
        <w:jc w:val="left"/>
      </w:pPr>
      <w:r>
        <w:rPr>
          <w:rFonts w:ascii="Arial" w:cs="Arial" w:eastAsia="Arial" w:hAnsi="Arial"/>
          <w:color w:val="1A1A2E"/>
          <w:sz w:val="20"/>
          <w:szCs w:val="20"/>
        </w:rPr>
        <w:t xml:space="preserve">Indian data protection law and RBI guidelines impose data localisation requirements on certain categories of data. The internship team must verify all data storage locations against the following obligations.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rPr>
          <w:tblHeader/>
        </w:trPr>
        <w:tc>
          <w:tcPr>
            <w:tcW w:type="dxa" w:w="200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Data Category</w:t>
            </w:r>
          </w:p>
        </w:tc>
        <w:tc>
          <w:tcPr>
            <w:tcW w:type="dxa" w:w="220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Localisation Requirement</w:t>
            </w:r>
          </w:p>
        </w:tc>
        <w:tc>
          <w:tcPr>
            <w:tcW w:type="dxa" w:w="256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Legal Basis</w:t>
            </w:r>
          </w:p>
        </w:tc>
        <w:tc>
          <w:tcPr>
            <w:tcW w:type="dxa" w:w="260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Implementation 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Payment transaction 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C0392B"/>
                <w:sz w:val="17"/>
                <w:szCs w:val="17"/>
              </w:rPr>
              <w:t xml:space="preserve">Mandatory India localisation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RBI Payment Aggregator Guidelines 2020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Use AWS ap-south-1 (Mumbai) or Azure India Central. No mirroring to foreign servers.</w:t>
            </w:r>
          </w:p>
        </w:tc>
      </w:tr>
      <w:tr>
        <w:tc>
          <w:tcPr>
            <w:tcW w:type="dxa" w:w="2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Aadhaar-linked KYC data</w:t>
            </w:r>
          </w:p>
        </w:tc>
        <w:tc>
          <w:tcPr>
            <w:tcW w:type="dxa" w:w="2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C0392B"/>
                <w:sz w:val="17"/>
                <w:szCs w:val="17"/>
              </w:rPr>
              <w:t xml:space="preserve">Must not leave India</w:t>
            </w:r>
          </w:p>
        </w:tc>
        <w:tc>
          <w:tcPr>
            <w:tcW w:type="dxa" w:w="25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Aadhaar Act 2016 + UIDAI directions</w:t>
            </w:r>
          </w:p>
        </w:tc>
        <w:tc>
          <w:tcPr>
            <w:tcW w:type="dxa" w:w="2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KYC intermediary must confirm India-only processing. No cloud region outside India.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Farmer personal data (DPDP)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B7600A"/>
                <w:sz w:val="17"/>
                <w:szCs w:val="17"/>
              </w:rPr>
              <w:t xml:space="preserve">DPDP rules pending — apply localisation as best practice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DPDP Act 2023 (rules not yet notified)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Default to India region. Obtain explicit consent before cross-border transfer when rules are notified.</w:t>
            </w:r>
          </w:p>
        </w:tc>
      </w:tr>
      <w:tr>
        <w:tc>
          <w:tcPr>
            <w:tcW w:type="dxa" w:w="2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Satellite imagery (vendor-sourced)</w:t>
            </w:r>
          </w:p>
        </w:tc>
        <w:tc>
          <w:tcPr>
            <w:tcW w:type="dxa" w:w="2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B7600A"/>
                <w:sz w:val="17"/>
                <w:szCs w:val="17"/>
              </w:rPr>
              <w:t xml:space="preserve">Vendor must confirm India residency</w:t>
            </w:r>
          </w:p>
        </w:tc>
        <w:tc>
          <w:tcPr>
            <w:tcW w:type="dxa" w:w="25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RSDP 2011 compliance</w:t>
            </w:r>
          </w:p>
        </w:tc>
        <w:tc>
          <w:tcPr>
            <w:tcW w:type="dxa" w:w="2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Include India data residency clause in vendor DPA. Request confirmation of storage region.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Drone imagery &amp; GPS polygons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B7600A"/>
                <w:sz w:val="17"/>
                <w:szCs w:val="17"/>
              </w:rPr>
              <w:t xml:space="preserve">Store in India; no cross-border without farmer consent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Drone Rules 2021 + DPDP Act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S3 bucket: ap-south-1. No CDN distribution to foreign nodes for raw GPS/imagery data.</w:t>
            </w:r>
          </w:p>
        </w:tc>
      </w:tr>
      <w:tr>
        <w:tc>
          <w:tcPr>
            <w:tcW w:type="dxa" w:w="2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Analytics / clickstream</w:t>
            </w:r>
          </w:p>
        </w:tc>
        <w:tc>
          <w:tcPr>
            <w:tcW w:type="dxa" w:w="2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B7600A"/>
                <w:sz w:val="17"/>
                <w:szCs w:val="17"/>
              </w:rPr>
              <w:t xml:space="preserve">No binding localisation rule currently</w:t>
            </w:r>
          </w:p>
        </w:tc>
        <w:tc>
          <w:tcPr>
            <w:tcW w:type="dxa" w:w="25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Consumer Protection E-Commerce Rules</w:t>
            </w:r>
          </w:p>
        </w:tc>
        <w:tc>
          <w:tcPr>
            <w:tcW w:type="dxa" w:w="2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India region preferred. Anonymise before any cross-border analytics processing.</w:t>
            </w:r>
          </w:p>
        </w:tc>
      </w:tr>
    </w:tbl>
    <w:p>
      <w:r>
        <w:t xml:space="preserve"/>
      </w:r>
    </w:p>
    <w:p>
      <w:r>
        <w:t xml:space="preserve"/>
      </w:r>
    </w:p>
    <w:p>
      <w:r>
        <w:br w:type="page"/>
      </w:r>
    </w:p>
    <w:p>
      <w:pPr>
        <w:pStyle w:val="Heading1"/>
        <w:spacing w:after="160" w:before="360"/>
      </w:pPr>
      <w:r>
        <w:rPr>
          <w:rFonts w:ascii="Arial" w:cs="Arial" w:eastAsia="Arial" w:hAnsi="Arial"/>
          <w:b/>
          <w:bCs/>
          <w:color w:val="1B4332"/>
          <w:sz w:val="36"/>
          <w:szCs w:val="36"/>
        </w:rPr>
        <w:t xml:space="preserve">10. Glossary of Terms</w:t>
      </w:r>
    </w:p>
    <w:p>
      <w:pPr>
        <w:pBdr>
          <w:bottom w:val="single" w:color="52B788" w:sz="6" w:space="1"/>
        </w:pBdr>
        <w:spacing w:after="60" w:before="6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Term</w:t>
            </w:r>
          </w:p>
        </w:tc>
        <w:tc>
          <w:tcPr>
            <w:tcW w:type="dxa" w:w="696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1B4332"/>
                <w:sz w:val="17"/>
                <w:szCs w:val="17"/>
              </w:rPr>
              <w:t xml:space="preserve">AES-256-GCM</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7"/>
                <w:szCs w:val="17"/>
              </w:rPr>
              <w:t xml:space="preserve">Advanced Encryption Standard with 256-bit key in Galois/Counter Mode — authenticated encryption used for field-level data encryption</w:t>
            </w:r>
          </w:p>
        </w:tc>
      </w:tr>
      <w:tr>
        <w:tc>
          <w:tcPr>
            <w:tcW w:type="dxa" w:w="2400"/>
            <w:tcBorders>
              <w:top w:val="single" w:color="CCCCCC" w:sz="1"/>
              <w:left w:val="single" w:color="CCCCCC" w:sz="1"/>
              <w:bottom w:val="single" w:color="CCCCCC" w:sz="1"/>
              <w:right w:val="single" w:color="CCCCCC" w:sz="1"/>
            </w:tcBorders>
            <w:shd w:fill="F0FAF4" w:val="clear"/>
            <w:tcMar>
              <w:top w:type="dxa" w:w="70"/>
              <w:left w:type="dxa" w:w="120"/>
              <w:bottom w:type="dxa" w:w="70"/>
              <w:right w:type="dxa" w:w="120"/>
            </w:tcMar>
            <w:vAlign w:val="center"/>
          </w:tcPr>
          <w:p>
            <w:r>
              <w:rPr>
                <w:rFonts w:ascii="Arial" w:cs="Arial" w:eastAsia="Arial" w:hAnsi="Arial"/>
                <w:b/>
                <w:bCs/>
                <w:color w:val="1B4332"/>
                <w:sz w:val="17"/>
                <w:szCs w:val="17"/>
              </w:rPr>
              <w:t xml:space="preserve">AUA / KUA</w:t>
            </w:r>
          </w:p>
        </w:tc>
        <w:tc>
          <w:tcPr>
            <w:tcW w:type="dxa" w:w="6960"/>
            <w:tcBorders>
              <w:top w:val="single" w:color="CCCCCC" w:sz="1"/>
              <w:left w:val="single" w:color="CCCCCC" w:sz="1"/>
              <w:bottom w:val="single" w:color="CCCCCC" w:sz="1"/>
              <w:right w:val="single" w:color="CCCCCC" w:sz="1"/>
            </w:tcBorders>
            <w:shd w:fill="F0FAF4" w:val="clear"/>
            <w:tcMar>
              <w:top w:type="dxa" w:w="70"/>
              <w:left w:type="dxa" w:w="120"/>
              <w:bottom w:type="dxa" w:w="70"/>
              <w:right w:type="dxa" w:w="120"/>
            </w:tcMar>
            <w:vAlign w:val="center"/>
          </w:tcPr>
          <w:p>
            <w:r>
              <w:rPr>
                <w:rFonts w:ascii="Arial" w:cs="Arial" w:eastAsia="Arial" w:hAnsi="Arial"/>
                <w:b w:val="false"/>
                <w:bCs w:val="false"/>
                <w:color w:val="1A1A2E"/>
                <w:sz w:val="17"/>
                <w:szCs w:val="17"/>
              </w:rPr>
              <w:t xml:space="preserve">Authentication User Agency / KYC User Agency — UIDAI-authorised entities that can perform Aadhaar-based authentication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1B4332"/>
                <w:sz w:val="17"/>
                <w:szCs w:val="17"/>
              </w:rPr>
              <w:t xml:space="preserve">CERT-In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7"/>
                <w:szCs w:val="17"/>
              </w:rPr>
              <w:t xml:space="preserve">Indian Computer Emergency Response Team — national nodal agency for cybersecurity incidents; directions mandate 6-hour incident reporting</w:t>
            </w:r>
          </w:p>
        </w:tc>
      </w:tr>
      <w:tr>
        <w:tc>
          <w:tcPr>
            <w:tcW w:type="dxa" w:w="2400"/>
            <w:tcBorders>
              <w:top w:val="single" w:color="CCCCCC" w:sz="1"/>
              <w:left w:val="single" w:color="CCCCCC" w:sz="1"/>
              <w:bottom w:val="single" w:color="CCCCCC" w:sz="1"/>
              <w:right w:val="single" w:color="CCCCCC" w:sz="1"/>
            </w:tcBorders>
            <w:shd w:fill="F0FAF4" w:val="clear"/>
            <w:tcMar>
              <w:top w:type="dxa" w:w="70"/>
              <w:left w:type="dxa" w:w="120"/>
              <w:bottom w:type="dxa" w:w="70"/>
              <w:right w:type="dxa" w:w="120"/>
            </w:tcMar>
            <w:vAlign w:val="center"/>
          </w:tcPr>
          <w:p>
            <w:r>
              <w:rPr>
                <w:rFonts w:ascii="Arial" w:cs="Arial" w:eastAsia="Arial" w:hAnsi="Arial"/>
                <w:b/>
                <w:bCs/>
                <w:color w:val="1B4332"/>
                <w:sz w:val="17"/>
                <w:szCs w:val="17"/>
              </w:rPr>
              <w:t xml:space="preserve">Data Fiduciary</w:t>
            </w:r>
          </w:p>
        </w:tc>
        <w:tc>
          <w:tcPr>
            <w:tcW w:type="dxa" w:w="6960"/>
            <w:tcBorders>
              <w:top w:val="single" w:color="CCCCCC" w:sz="1"/>
              <w:left w:val="single" w:color="CCCCCC" w:sz="1"/>
              <w:bottom w:val="single" w:color="CCCCCC" w:sz="1"/>
              <w:right w:val="single" w:color="CCCCCC" w:sz="1"/>
            </w:tcBorders>
            <w:shd w:fill="F0FAF4" w:val="clear"/>
            <w:tcMar>
              <w:top w:type="dxa" w:w="70"/>
              <w:left w:type="dxa" w:w="120"/>
              <w:bottom w:type="dxa" w:w="70"/>
              <w:right w:type="dxa" w:w="120"/>
            </w:tcMar>
            <w:vAlign w:val="center"/>
          </w:tcPr>
          <w:p>
            <w:r>
              <w:rPr>
                <w:rFonts w:ascii="Arial" w:cs="Arial" w:eastAsia="Arial" w:hAnsi="Arial"/>
                <w:b w:val="false"/>
                <w:bCs w:val="false"/>
                <w:color w:val="1A1A2E"/>
                <w:sz w:val="17"/>
                <w:szCs w:val="17"/>
              </w:rPr>
              <w:t xml:space="preserve">Entity that determines the purpose and means of processing personal data under the DPDP Act 2023 — Eartigo's role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1B4332"/>
                <w:sz w:val="17"/>
                <w:szCs w:val="17"/>
              </w:rPr>
              <w:t xml:space="preserve">Data Processor</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7"/>
                <w:szCs w:val="17"/>
              </w:rPr>
              <w:t xml:space="preserve">Entity that processes personal data on behalf of a Data Fiduciary — e.g., payment gateways, satellite vendors</w:t>
            </w:r>
          </w:p>
        </w:tc>
      </w:tr>
      <w:tr>
        <w:tc>
          <w:tcPr>
            <w:tcW w:type="dxa" w:w="2400"/>
            <w:tcBorders>
              <w:top w:val="single" w:color="CCCCCC" w:sz="1"/>
              <w:left w:val="single" w:color="CCCCCC" w:sz="1"/>
              <w:bottom w:val="single" w:color="CCCCCC" w:sz="1"/>
              <w:right w:val="single" w:color="CCCCCC" w:sz="1"/>
            </w:tcBorders>
            <w:shd w:fill="F0FAF4" w:val="clear"/>
            <w:tcMar>
              <w:top w:type="dxa" w:w="70"/>
              <w:left w:type="dxa" w:w="120"/>
              <w:bottom w:type="dxa" w:w="70"/>
              <w:right w:type="dxa" w:w="120"/>
            </w:tcMar>
            <w:vAlign w:val="center"/>
          </w:tcPr>
          <w:p>
            <w:r>
              <w:rPr>
                <w:rFonts w:ascii="Arial" w:cs="Arial" w:eastAsia="Arial" w:hAnsi="Arial"/>
                <w:b/>
                <w:bCs/>
                <w:color w:val="1B4332"/>
                <w:sz w:val="17"/>
                <w:szCs w:val="17"/>
              </w:rPr>
              <w:t xml:space="preserve">DPDP Act 2023</w:t>
            </w:r>
          </w:p>
        </w:tc>
        <w:tc>
          <w:tcPr>
            <w:tcW w:type="dxa" w:w="6960"/>
            <w:tcBorders>
              <w:top w:val="single" w:color="CCCCCC" w:sz="1"/>
              <w:left w:val="single" w:color="CCCCCC" w:sz="1"/>
              <w:bottom w:val="single" w:color="CCCCCC" w:sz="1"/>
              <w:right w:val="single" w:color="CCCCCC" w:sz="1"/>
            </w:tcBorders>
            <w:shd w:fill="F0FAF4" w:val="clear"/>
            <w:tcMar>
              <w:top w:type="dxa" w:w="70"/>
              <w:left w:type="dxa" w:w="120"/>
              <w:bottom w:type="dxa" w:w="70"/>
              <w:right w:type="dxa" w:w="120"/>
            </w:tcMar>
            <w:vAlign w:val="center"/>
          </w:tcPr>
          <w:p>
            <w:r>
              <w:rPr>
                <w:rFonts w:ascii="Arial" w:cs="Arial" w:eastAsia="Arial" w:hAnsi="Arial"/>
                <w:b w:val="false"/>
                <w:bCs w:val="false"/>
                <w:color w:val="1A1A2E"/>
                <w:sz w:val="17"/>
                <w:szCs w:val="17"/>
              </w:rPr>
              <w:t xml:space="preserve">Digital Personal Data Protection Act — India's primary data protection legislation, enacted 11 August 2023</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1B4332"/>
                <w:sz w:val="17"/>
                <w:szCs w:val="17"/>
              </w:rPr>
              <w:t xml:space="preserve">DPA</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7"/>
                <w:szCs w:val="17"/>
              </w:rPr>
              <w:t xml:space="preserve">Data Processing Agreement — contract between a Data Fiduciary and third-party Data Processor defining data handling obligations</w:t>
            </w:r>
          </w:p>
        </w:tc>
      </w:tr>
      <w:tr>
        <w:tc>
          <w:tcPr>
            <w:tcW w:type="dxa" w:w="2400"/>
            <w:tcBorders>
              <w:top w:val="single" w:color="CCCCCC" w:sz="1"/>
              <w:left w:val="single" w:color="CCCCCC" w:sz="1"/>
              <w:bottom w:val="single" w:color="CCCCCC" w:sz="1"/>
              <w:right w:val="single" w:color="CCCCCC" w:sz="1"/>
            </w:tcBorders>
            <w:shd w:fill="F0FAF4" w:val="clear"/>
            <w:tcMar>
              <w:top w:type="dxa" w:w="70"/>
              <w:left w:type="dxa" w:w="120"/>
              <w:bottom w:type="dxa" w:w="70"/>
              <w:right w:type="dxa" w:w="120"/>
            </w:tcMar>
            <w:vAlign w:val="center"/>
          </w:tcPr>
          <w:p>
            <w:r>
              <w:rPr>
                <w:rFonts w:ascii="Arial" w:cs="Arial" w:eastAsia="Arial" w:hAnsi="Arial"/>
                <w:b/>
                <w:bCs/>
                <w:color w:val="1B4332"/>
                <w:sz w:val="17"/>
                <w:szCs w:val="17"/>
              </w:rPr>
              <w:t xml:space="preserve">DGCA / UIN</w:t>
            </w:r>
          </w:p>
        </w:tc>
        <w:tc>
          <w:tcPr>
            <w:tcW w:type="dxa" w:w="6960"/>
            <w:tcBorders>
              <w:top w:val="single" w:color="CCCCCC" w:sz="1"/>
              <w:left w:val="single" w:color="CCCCCC" w:sz="1"/>
              <w:bottom w:val="single" w:color="CCCCCC" w:sz="1"/>
              <w:right w:val="single" w:color="CCCCCC" w:sz="1"/>
            </w:tcBorders>
            <w:shd w:fill="F0FAF4" w:val="clear"/>
            <w:tcMar>
              <w:top w:type="dxa" w:w="70"/>
              <w:left w:type="dxa" w:w="120"/>
              <w:bottom w:type="dxa" w:w="70"/>
              <w:right w:type="dxa" w:w="120"/>
            </w:tcMar>
            <w:vAlign w:val="center"/>
          </w:tcPr>
          <w:p>
            <w:r>
              <w:rPr>
                <w:rFonts w:ascii="Arial" w:cs="Arial" w:eastAsia="Arial" w:hAnsi="Arial"/>
                <w:b w:val="false"/>
                <w:bCs w:val="false"/>
                <w:color w:val="1A1A2E"/>
                <w:sz w:val="17"/>
                <w:szCs w:val="17"/>
              </w:rPr>
              <w:t xml:space="preserve">Directorate General of Civil Aviation — regulates drone operations. UIN = Unique Identification Number for registered drone operators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1B4332"/>
                <w:sz w:val="17"/>
                <w:szCs w:val="17"/>
              </w:rPr>
              <w:t xml:space="preserve">HMAC</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7"/>
                <w:szCs w:val="17"/>
              </w:rPr>
              <w:t xml:space="preserve">Hash-based Message Authentication Code — used to create tamper-proof resource tokens for IDOR prevention</w:t>
            </w:r>
          </w:p>
        </w:tc>
      </w:tr>
      <w:tr>
        <w:tc>
          <w:tcPr>
            <w:tcW w:type="dxa" w:w="2400"/>
            <w:tcBorders>
              <w:top w:val="single" w:color="CCCCCC" w:sz="1"/>
              <w:left w:val="single" w:color="CCCCCC" w:sz="1"/>
              <w:bottom w:val="single" w:color="CCCCCC" w:sz="1"/>
              <w:right w:val="single" w:color="CCCCCC" w:sz="1"/>
            </w:tcBorders>
            <w:shd w:fill="F0FAF4" w:val="clear"/>
            <w:tcMar>
              <w:top w:type="dxa" w:w="70"/>
              <w:left w:type="dxa" w:w="120"/>
              <w:bottom w:type="dxa" w:w="70"/>
              <w:right w:type="dxa" w:w="120"/>
            </w:tcMar>
            <w:vAlign w:val="center"/>
          </w:tcPr>
          <w:p>
            <w:r>
              <w:rPr>
                <w:rFonts w:ascii="Arial" w:cs="Arial" w:eastAsia="Arial" w:hAnsi="Arial"/>
                <w:b/>
                <w:bCs/>
                <w:color w:val="1B4332"/>
                <w:sz w:val="17"/>
                <w:szCs w:val="17"/>
              </w:rPr>
              <w:t xml:space="preserve">IDOR</w:t>
            </w:r>
          </w:p>
        </w:tc>
        <w:tc>
          <w:tcPr>
            <w:tcW w:type="dxa" w:w="6960"/>
            <w:tcBorders>
              <w:top w:val="single" w:color="CCCCCC" w:sz="1"/>
              <w:left w:val="single" w:color="CCCCCC" w:sz="1"/>
              <w:bottom w:val="single" w:color="CCCCCC" w:sz="1"/>
              <w:right w:val="single" w:color="CCCCCC" w:sz="1"/>
            </w:tcBorders>
            <w:shd w:fill="F0FAF4" w:val="clear"/>
            <w:tcMar>
              <w:top w:type="dxa" w:w="70"/>
              <w:left w:type="dxa" w:w="120"/>
              <w:bottom w:type="dxa" w:w="70"/>
              <w:right w:type="dxa" w:w="120"/>
            </w:tcMar>
            <w:vAlign w:val="center"/>
          </w:tcPr>
          <w:p>
            <w:r>
              <w:rPr>
                <w:rFonts w:ascii="Arial" w:cs="Arial" w:eastAsia="Arial" w:hAnsi="Arial"/>
                <w:b w:val="false"/>
                <w:bCs w:val="false"/>
                <w:color w:val="1A1A2E"/>
                <w:sz w:val="17"/>
                <w:szCs w:val="17"/>
              </w:rPr>
              <w:t xml:space="preserve">Insecure Direct Object Reference — vulnerability where an attacker accesses another user's data by modifying a resource ID in the URL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1B4332"/>
                <w:sz w:val="17"/>
                <w:szCs w:val="17"/>
              </w:rPr>
              <w:t xml:space="preserve">NDVI</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7"/>
                <w:szCs w:val="17"/>
              </w:rPr>
              <w:t xml:space="preserve">Normalized Difference Vegetation Index — satellite-derived measure of crop health using multi-spectral imagery</w:t>
            </w:r>
          </w:p>
        </w:tc>
      </w:tr>
      <w:tr>
        <w:tc>
          <w:tcPr>
            <w:tcW w:type="dxa" w:w="2400"/>
            <w:tcBorders>
              <w:top w:val="single" w:color="CCCCCC" w:sz="1"/>
              <w:left w:val="single" w:color="CCCCCC" w:sz="1"/>
              <w:bottom w:val="single" w:color="CCCCCC" w:sz="1"/>
              <w:right w:val="single" w:color="CCCCCC" w:sz="1"/>
            </w:tcBorders>
            <w:shd w:fill="F0FAF4" w:val="clear"/>
            <w:tcMar>
              <w:top w:type="dxa" w:w="70"/>
              <w:left w:type="dxa" w:w="120"/>
              <w:bottom w:type="dxa" w:w="70"/>
              <w:right w:type="dxa" w:w="120"/>
            </w:tcMar>
            <w:vAlign w:val="center"/>
          </w:tcPr>
          <w:p>
            <w:r>
              <w:rPr>
                <w:rFonts w:ascii="Arial" w:cs="Arial" w:eastAsia="Arial" w:hAnsi="Arial"/>
                <w:b/>
                <w:bCs/>
                <w:color w:val="1B4332"/>
                <w:sz w:val="17"/>
                <w:szCs w:val="17"/>
              </w:rPr>
              <w:t xml:space="preserve">NTP</w:t>
            </w:r>
          </w:p>
        </w:tc>
        <w:tc>
          <w:tcPr>
            <w:tcW w:type="dxa" w:w="6960"/>
            <w:tcBorders>
              <w:top w:val="single" w:color="CCCCCC" w:sz="1"/>
              <w:left w:val="single" w:color="CCCCCC" w:sz="1"/>
              <w:bottom w:val="single" w:color="CCCCCC" w:sz="1"/>
              <w:right w:val="single" w:color="CCCCCC" w:sz="1"/>
            </w:tcBorders>
            <w:shd w:fill="F0FAF4" w:val="clear"/>
            <w:tcMar>
              <w:top w:type="dxa" w:w="70"/>
              <w:left w:type="dxa" w:w="120"/>
              <w:bottom w:type="dxa" w:w="70"/>
              <w:right w:type="dxa" w:w="120"/>
            </w:tcMar>
            <w:vAlign w:val="center"/>
          </w:tcPr>
          <w:p>
            <w:r>
              <w:rPr>
                <w:rFonts w:ascii="Arial" w:cs="Arial" w:eastAsia="Arial" w:hAnsi="Arial"/>
                <w:b w:val="false"/>
                <w:bCs w:val="false"/>
                <w:color w:val="1A1A2E"/>
                <w:sz w:val="17"/>
                <w:szCs w:val="17"/>
              </w:rPr>
              <w:t xml:space="preserve">Network Time Protocol — required by CERT-In to synchronise all ICT system clocks for accurate log timestamping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1B4332"/>
                <w:sz w:val="17"/>
                <w:szCs w:val="17"/>
              </w:rPr>
              <w:t xml:space="preserve">RBAC</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7"/>
                <w:szCs w:val="17"/>
              </w:rPr>
              <w:t xml:space="preserve">Role-Based Access Control — permission model where access rights are assigned based on user roles (farmer, buyer, admin)</w:t>
            </w:r>
          </w:p>
        </w:tc>
      </w:tr>
      <w:tr>
        <w:tc>
          <w:tcPr>
            <w:tcW w:type="dxa" w:w="2400"/>
            <w:tcBorders>
              <w:top w:val="single" w:color="CCCCCC" w:sz="1"/>
              <w:left w:val="single" w:color="CCCCCC" w:sz="1"/>
              <w:bottom w:val="single" w:color="CCCCCC" w:sz="1"/>
              <w:right w:val="single" w:color="CCCCCC" w:sz="1"/>
            </w:tcBorders>
            <w:shd w:fill="F0FAF4" w:val="clear"/>
            <w:tcMar>
              <w:top w:type="dxa" w:w="70"/>
              <w:left w:type="dxa" w:w="120"/>
              <w:bottom w:type="dxa" w:w="70"/>
              <w:right w:type="dxa" w:w="120"/>
            </w:tcMar>
            <w:vAlign w:val="center"/>
          </w:tcPr>
          <w:p>
            <w:r>
              <w:rPr>
                <w:rFonts w:ascii="Arial" w:cs="Arial" w:eastAsia="Arial" w:hAnsi="Arial"/>
                <w:b/>
                <w:bCs/>
                <w:color w:val="1B4332"/>
                <w:sz w:val="17"/>
                <w:szCs w:val="17"/>
              </w:rPr>
              <w:t xml:space="preserve">RSDP 2011</w:t>
            </w:r>
          </w:p>
        </w:tc>
        <w:tc>
          <w:tcPr>
            <w:tcW w:type="dxa" w:w="6960"/>
            <w:tcBorders>
              <w:top w:val="single" w:color="CCCCCC" w:sz="1"/>
              <w:left w:val="single" w:color="CCCCCC" w:sz="1"/>
              <w:bottom w:val="single" w:color="CCCCCC" w:sz="1"/>
              <w:right w:val="single" w:color="CCCCCC" w:sz="1"/>
            </w:tcBorders>
            <w:shd w:fill="F0FAF4" w:val="clear"/>
            <w:tcMar>
              <w:top w:type="dxa" w:w="70"/>
              <w:left w:type="dxa" w:w="120"/>
              <w:bottom w:type="dxa" w:w="70"/>
              <w:right w:type="dxa" w:w="120"/>
            </w:tcMar>
            <w:vAlign w:val="center"/>
          </w:tcPr>
          <w:p>
            <w:r>
              <w:rPr>
                <w:rFonts w:ascii="Arial" w:cs="Arial" w:eastAsia="Arial" w:hAnsi="Arial"/>
                <w:b w:val="false"/>
                <w:bCs w:val="false"/>
                <w:color w:val="1A1A2E"/>
                <w:sz w:val="17"/>
                <w:szCs w:val="17"/>
              </w:rPr>
              <w:t xml:space="preserve">Remote Sensing Data Policy 2011 — India's policy governing satellite imagery distribution; high-resolution (&lt;1m) imagery requires central approval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1B4332"/>
                <w:sz w:val="17"/>
                <w:szCs w:val="17"/>
              </w:rPr>
              <w:t xml:space="preserve">SPDI Rules 2011</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7"/>
                <w:szCs w:val="17"/>
              </w:rPr>
              <w:t xml:space="preserve">Sensitive Personal Data or Information Rules — define sensitive data categories under the IT Act 2000</w:t>
            </w:r>
          </w:p>
        </w:tc>
      </w:tr>
      <w:tr>
        <w:tc>
          <w:tcPr>
            <w:tcW w:type="dxa" w:w="2400"/>
            <w:tcBorders>
              <w:top w:val="single" w:color="CCCCCC" w:sz="1"/>
              <w:left w:val="single" w:color="CCCCCC" w:sz="1"/>
              <w:bottom w:val="single" w:color="CCCCCC" w:sz="1"/>
              <w:right w:val="single" w:color="CCCCCC" w:sz="1"/>
            </w:tcBorders>
            <w:shd w:fill="F0FAF4" w:val="clear"/>
            <w:tcMar>
              <w:top w:type="dxa" w:w="70"/>
              <w:left w:type="dxa" w:w="120"/>
              <w:bottom w:type="dxa" w:w="70"/>
              <w:right w:type="dxa" w:w="120"/>
            </w:tcMar>
            <w:vAlign w:val="center"/>
          </w:tcPr>
          <w:p>
            <w:r>
              <w:rPr>
                <w:rFonts w:ascii="Arial" w:cs="Arial" w:eastAsia="Arial" w:hAnsi="Arial"/>
                <w:b/>
                <w:bCs/>
                <w:color w:val="1B4332"/>
                <w:sz w:val="17"/>
                <w:szCs w:val="17"/>
              </w:rPr>
              <w:t xml:space="preserve">SSE-KMS</w:t>
            </w:r>
          </w:p>
        </w:tc>
        <w:tc>
          <w:tcPr>
            <w:tcW w:type="dxa" w:w="6960"/>
            <w:tcBorders>
              <w:top w:val="single" w:color="CCCCCC" w:sz="1"/>
              <w:left w:val="single" w:color="CCCCCC" w:sz="1"/>
              <w:bottom w:val="single" w:color="CCCCCC" w:sz="1"/>
              <w:right w:val="single" w:color="CCCCCC" w:sz="1"/>
            </w:tcBorders>
            <w:shd w:fill="F0FAF4" w:val="clear"/>
            <w:tcMar>
              <w:top w:type="dxa" w:w="70"/>
              <w:left w:type="dxa" w:w="120"/>
              <w:bottom w:type="dxa" w:w="70"/>
              <w:right w:type="dxa" w:w="120"/>
            </w:tcMar>
            <w:vAlign w:val="center"/>
          </w:tcPr>
          <w:p>
            <w:r>
              <w:rPr>
                <w:rFonts w:ascii="Arial" w:cs="Arial" w:eastAsia="Arial" w:hAnsi="Arial"/>
                <w:b w:val="false"/>
                <w:bCs w:val="false"/>
                <w:color w:val="1A1A2E"/>
                <w:sz w:val="17"/>
                <w:szCs w:val="17"/>
              </w:rPr>
              <w:t xml:space="preserve">Server-Side Encryption with AWS Key Management Service — for encrypting S3-stored imagery at rest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1B4332"/>
                <w:sz w:val="17"/>
                <w:szCs w:val="17"/>
              </w:rPr>
              <w:t xml:space="preserve">UIDAI</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1A1A2E"/>
                <w:sz w:val="17"/>
                <w:szCs w:val="17"/>
              </w:rPr>
              <w:t xml:space="preserve">Unique Identification Authority of India — regulates Aadhaar authentication and KYC under the Aadhaar Act 2016</w:t>
            </w:r>
          </w:p>
        </w:tc>
      </w:tr>
    </w:tbl>
    <w:p>
      <w:r>
        <w:t xml:space="preserve"/>
      </w:r>
    </w:p>
    <w:p>
      <w:r>
        <w:t xml:space="preserve"/>
      </w:r>
    </w:p>
    <w:p>
      <w:pPr>
        <w:pBdr>
          <w:bottom w:val="single" w:color="52B788" w:sz="6" w:space="1"/>
        </w:pBdr>
        <w:spacing w:after="60" w:before="60"/>
      </w:pPr>
      <w:r>
        <w:t xml:space="preserve"/>
      </w:r>
    </w:p>
    <w:p>
      <w:pPr>
        <w:spacing w:after="80" w:before="160"/>
        <w:jc w:val="center"/>
      </w:pPr>
      <w:r>
        <w:rPr>
          <w:rFonts w:ascii="Arial" w:cs="Arial" w:eastAsia="Arial" w:hAnsi="Arial"/>
          <w:b/>
          <w:bCs/>
          <w:color w:val="2D6A4F"/>
          <w:sz w:val="22"/>
          <w:szCs w:val="22"/>
        </w:rPr>
        <w:t xml:space="preserve">END OF PART A — DATA INVENTORY &amp; SECURITY IMPLEMENTATION GUIDE</w:t>
      </w:r>
    </w:p>
    <w:p>
      <w:pPr>
        <w:spacing w:after="40" w:before="40"/>
        <w:jc w:val="center"/>
      </w:pPr>
      <w:r>
        <w:rPr>
          <w:rFonts w:ascii="Arial" w:cs="Arial" w:eastAsia="Arial" w:hAnsi="Arial"/>
          <w:i/>
          <w:iCs/>
          <w:color w:val="888888"/>
          <w:sz w:val="18"/>
          <w:szCs w:val="18"/>
        </w:rPr>
        <w:t xml:space="preserve">Eartigo AgriTech Platform  |  CONFIDENTIAL — For Internal Internship Team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2B788" w:sz="4" w:space="1"/>
      </w:pBdr>
      <w:tabs>
        <w:tab w:val="right" w:pos="9026"/>
      </w:tabs>
      <w:jc w:val="center"/>
    </w:pPr>
    <w:r>
      <w:rPr>
        <w:rFonts w:ascii="Arial" w:cs="Arial" w:eastAsia="Arial" w:hAnsi="Arial"/>
        <w:color w:val="666666"/>
        <w:sz w:val="16"/>
        <w:szCs w:val="16"/>
      </w:rPr>
      <w:t xml:space="preserve">Eartigo AgriTech Platform  |  CONFIDENTIAL — INTERNAL USE ONLY  |  Page </w:t>
    </w:r>
    <w:r>
      <w:rPr>
        <w:rFonts w:ascii="Arial" w:cs="Arial" w:eastAsia="Arial" w:hAnsi="Arial"/>
        <w:color w:val="2D6A4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332" w:sz="6" w:space="1"/>
      </w:pBdr>
      <w:jc w:val="right"/>
    </w:pPr>
    <w:r>
      <w:rPr>
        <w:rFonts w:ascii="Arial" w:cs="Arial" w:eastAsia="Arial" w:hAnsi="Arial"/>
        <w:b/>
        <w:bCs/>
        <w:color w:val="2D6A4F"/>
        <w:sz w:val="16"/>
        <w:szCs w:val="16"/>
      </w:rPr>
      <w:t xml:space="preserve">EARTIGO — CYBERSECURITY INTERNSHIP | PART A: DATA INVENTORY &amp; 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332"/>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D6A4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2026-06-09T05:43:49.377Z</dcterms:created>
  <dcterms:modified xsi:type="dcterms:W3CDTF">2026-06-09T05:43:49.377Z</dcterms:modified>
</cp:coreProperties>
</file>

<file path=docProps/custom.xml><?xml version="1.0" encoding="utf-8"?>
<Properties xmlns="http://schemas.openxmlformats.org/officeDocument/2006/custom-properties" xmlns:vt="http://schemas.openxmlformats.org/officeDocument/2006/docPropsVTypes"/>
</file>