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Case: Harbourline Coffee</w:t>
      </w:r>
    </w:p>
    <w:p>
      <w:r>
        <w:t>Harbourline Coffee is a family-owned chain of six cafés in a coastal city. Founded twelve years ago by two siblings, it has built a loyal following for its locally roasted beans and its friendly, neighbourhood feel. Revenue has grown steadily, and last year the business made a small profit for the fourth year running.</w:t>
      </w:r>
    </w:p>
    <w:p>
      <w:r>
        <w:t>The owners now want to open three new cafés in a neighbouring city where they have no presence. A national chain already operates there, with lower prices and a mobile ordering app. Harbourline's managers believe their brand and product quality will win customers, but they have no data on the new market.</w:t>
      </w:r>
    </w:p>
    <w:p>
      <w:r>
        <w:t>Each new café would cost about ₹40 lakh to fit out, and rent, wages and utilities would run to around ₹6 lakh a month regardless of how many customers come in. The finance manager has warned that although the business is profitable, its bank balance is low at certain times of year, because suppliers must be paid before the busy summer season brings cash back in.</w:t>
      </w:r>
    </w:p>
    <w:p>
      <w:r>
        <w:t>One option on the table is to open a single café first as a pilot, measure how it performs for six months, and only then decide on the other two. Another is to supply roasted beans to supermarkets in the new city, building brand awareness before committing to premises.</w:t>
      </w:r>
    </w:p>
    <w:p>
      <w:r>
        <w:t>The board has asked for a recommendation that weighs the opportunity against the risks to the existing business.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