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A5E" w:rsidRDefault="00504A5E" w:rsidP="00504A5E">
      <w:pPr>
        <w:pStyle w:val="IntenseQuote"/>
      </w:pPr>
      <w:r>
        <w:rPr>
          <w:rStyle w:val="Strong"/>
        </w:rPr>
        <w:t>Title:</w:t>
      </w:r>
      <w:r>
        <w:t xml:space="preserve"> Prototype Tool for Space Traffic Visualization and Orbit Risk Classification using Live Satellite TLE Data</w:t>
      </w:r>
      <w:r>
        <w:br/>
      </w:r>
      <w:r>
        <w:rPr>
          <w:rStyle w:val="Strong"/>
        </w:rPr>
        <w:t>Author:</w:t>
      </w:r>
      <w:r>
        <w:t xml:space="preserve"> Rudraksh Shukla</w:t>
      </w:r>
      <w:r>
        <w:br/>
      </w:r>
      <w:r>
        <w:rPr>
          <w:rStyle w:val="Strong"/>
        </w:rPr>
        <w:t>Date:</w:t>
      </w:r>
      <w:r>
        <w:t xml:space="preserve"> June 2025</w:t>
      </w:r>
    </w:p>
    <w:p w:rsidR="00504A5E" w:rsidRPr="00504A5E" w:rsidRDefault="00504A5E" w:rsidP="00504A5E"/>
    <w:p w:rsidR="002A52C7" w:rsidRDefault="002A52C7" w:rsidP="002A52C7">
      <w:pPr>
        <w:pStyle w:val="Heading3"/>
      </w:pPr>
      <w:r>
        <w:t>Abstract</w:t>
      </w:r>
    </w:p>
    <w:p w:rsidR="002A52C7" w:rsidRDefault="002A52C7" w:rsidP="002A52C7">
      <w:pPr>
        <w:pStyle w:val="NormalWeb"/>
      </w:pPr>
      <w:r>
        <w:t xml:space="preserve">Understanding the complex orbital dynamics of artificial satellites is increasingly important in the modern era of space exploration and satellite communications. This project presents an interactive visualization and simple classification tool for Earth-orbiting satellites, using publicly available Two-Line Element (TLE) data. The project utilizes the </w:t>
      </w:r>
      <w:proofErr w:type="spellStart"/>
      <w:r>
        <w:t>Skyfield</w:t>
      </w:r>
      <w:proofErr w:type="spellEnd"/>
      <w:r>
        <w:t xml:space="preserve"> library in Python to process and visualize satellite positions in 3D space, and to classify satellites based on their orbital altitude and inclination. Satellites are categorized into Low Earth Orbit (LEO), Medium Earth Orbit (MEO), or Geostationary Orbit (GEO), with an additional "Risk Zone" label assigned to those at altitudes below 300 km. The visualization component, delivered as an interactive 3D plot, allows users to intuitively explore the spatial distribution of satellites around Earth. The goal of this project is to provide an educational tool that helps students and researchers better understand satellite orbits and the increasing density of objects in space. The entire project is implemented in an openly accessible Google </w:t>
      </w:r>
      <w:proofErr w:type="spellStart"/>
      <w:r>
        <w:t>Colab</w:t>
      </w:r>
      <w:proofErr w:type="spellEnd"/>
      <w:r>
        <w:t xml:space="preserve"> notebook and is provided under the MIT License for educational and research purposes.</w:t>
      </w:r>
    </w:p>
    <w:p w:rsidR="00504A5E" w:rsidRDefault="00504A5E" w:rsidP="00504A5E"/>
    <w:p w:rsidR="00504A5E" w:rsidRPr="00504A5E" w:rsidRDefault="00504A5E" w:rsidP="00504A5E">
      <w:pPr>
        <w:spacing w:before="100" w:beforeAutospacing="1" w:after="100" w:afterAutospacing="1" w:line="240" w:lineRule="auto"/>
        <w:outlineLvl w:val="1"/>
        <w:rPr>
          <w:rFonts w:ascii="Times New Roman" w:eastAsia="Times New Roman" w:hAnsi="Times New Roman" w:cs="Times New Roman"/>
          <w:b/>
          <w:bCs/>
          <w:sz w:val="36"/>
          <w:szCs w:val="36"/>
        </w:rPr>
      </w:pPr>
      <w:r w:rsidRPr="00504A5E">
        <w:rPr>
          <w:rFonts w:ascii="Times New Roman" w:eastAsia="Times New Roman" w:hAnsi="Times New Roman" w:cs="Times New Roman"/>
          <w:b/>
          <w:bCs/>
          <w:sz w:val="36"/>
          <w:szCs w:val="36"/>
        </w:rPr>
        <w:t>1. Introduction</w:t>
      </w:r>
    </w:p>
    <w:p w:rsidR="00504A5E" w:rsidRPr="00504A5E" w:rsidRDefault="00504A5E" w:rsidP="00504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Rapid increase in number of satellites (</w:t>
      </w:r>
      <w:proofErr w:type="spellStart"/>
      <w:r w:rsidRPr="00504A5E">
        <w:rPr>
          <w:rFonts w:ascii="Times New Roman" w:eastAsia="Times New Roman" w:hAnsi="Times New Roman" w:cs="Times New Roman"/>
          <w:sz w:val="24"/>
          <w:szCs w:val="24"/>
        </w:rPr>
        <w:t>Starlink</w:t>
      </w:r>
      <w:proofErr w:type="spellEnd"/>
      <w:r w:rsidRPr="00504A5E">
        <w:rPr>
          <w:rFonts w:ascii="Times New Roman" w:eastAsia="Times New Roman" w:hAnsi="Times New Roman" w:cs="Times New Roman"/>
          <w:sz w:val="24"/>
          <w:szCs w:val="24"/>
        </w:rPr>
        <w:t xml:space="preserve">, </w:t>
      </w:r>
      <w:proofErr w:type="spellStart"/>
      <w:r w:rsidRPr="00504A5E">
        <w:rPr>
          <w:rFonts w:ascii="Times New Roman" w:eastAsia="Times New Roman" w:hAnsi="Times New Roman" w:cs="Times New Roman"/>
          <w:sz w:val="24"/>
          <w:szCs w:val="24"/>
        </w:rPr>
        <w:t>OneWeb</w:t>
      </w:r>
      <w:proofErr w:type="spellEnd"/>
      <w:r w:rsidRPr="00504A5E">
        <w:rPr>
          <w:rFonts w:ascii="Times New Roman" w:eastAsia="Times New Roman" w:hAnsi="Times New Roman" w:cs="Times New Roman"/>
          <w:sz w:val="24"/>
          <w:szCs w:val="24"/>
        </w:rPr>
        <w:t>).</w:t>
      </w:r>
    </w:p>
    <w:p w:rsidR="00504A5E" w:rsidRPr="00504A5E" w:rsidRDefault="00504A5E" w:rsidP="00504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Need for Space Situational Awareness (SSA) to avoid collisions.</w:t>
      </w:r>
    </w:p>
    <w:p w:rsidR="00504A5E" w:rsidRPr="00504A5E" w:rsidRDefault="00504A5E" w:rsidP="00504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LEO becoming highly congested.</w:t>
      </w:r>
    </w:p>
    <w:p w:rsidR="00504A5E" w:rsidRPr="00504A5E" w:rsidRDefault="00504A5E" w:rsidP="00504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Few tools available for intuitive visualization.</w:t>
      </w:r>
    </w:p>
    <w:p w:rsidR="00504A5E" w:rsidRPr="00504A5E" w:rsidRDefault="00504A5E" w:rsidP="00504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Goal of this project: create a simple prototype tool that classifies and visualizes live satellite traffic.</w:t>
      </w:r>
    </w:p>
    <w:p w:rsidR="00504A5E" w:rsidRPr="00504A5E" w:rsidRDefault="00504A5E" w:rsidP="00504A5E">
      <w:pPr>
        <w:spacing w:before="100" w:beforeAutospacing="1" w:after="100" w:afterAutospacing="1" w:line="240" w:lineRule="auto"/>
        <w:outlineLvl w:val="1"/>
        <w:rPr>
          <w:rFonts w:ascii="Times New Roman" w:eastAsia="Times New Roman" w:hAnsi="Times New Roman" w:cs="Times New Roman"/>
          <w:b/>
          <w:bCs/>
          <w:sz w:val="36"/>
          <w:szCs w:val="36"/>
        </w:rPr>
      </w:pPr>
      <w:r w:rsidRPr="00504A5E">
        <w:rPr>
          <w:rFonts w:ascii="Times New Roman" w:eastAsia="Times New Roman" w:hAnsi="Times New Roman" w:cs="Times New Roman"/>
          <w:b/>
          <w:bCs/>
          <w:sz w:val="36"/>
          <w:szCs w:val="36"/>
        </w:rPr>
        <w:t>2. Methodology</w:t>
      </w:r>
    </w:p>
    <w:p w:rsidR="00504A5E" w:rsidRPr="00504A5E" w:rsidRDefault="00504A5E" w:rsidP="00504A5E">
      <w:pPr>
        <w:spacing w:before="100" w:beforeAutospacing="1" w:after="100" w:afterAutospacing="1" w:line="240" w:lineRule="auto"/>
        <w:outlineLvl w:val="2"/>
        <w:rPr>
          <w:rFonts w:ascii="Times New Roman" w:eastAsia="Times New Roman" w:hAnsi="Times New Roman" w:cs="Times New Roman"/>
          <w:b/>
          <w:bCs/>
          <w:sz w:val="27"/>
          <w:szCs w:val="27"/>
        </w:rPr>
      </w:pPr>
      <w:r w:rsidRPr="00504A5E">
        <w:rPr>
          <w:rFonts w:ascii="Times New Roman" w:eastAsia="Times New Roman" w:hAnsi="Times New Roman" w:cs="Times New Roman"/>
          <w:b/>
          <w:bCs/>
          <w:sz w:val="27"/>
          <w:szCs w:val="27"/>
        </w:rPr>
        <w:t>2.1 Data Sources</w:t>
      </w:r>
    </w:p>
    <w:p w:rsidR="00504A5E" w:rsidRPr="00504A5E" w:rsidRDefault="00504A5E" w:rsidP="00504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 xml:space="preserve">Source: </w:t>
      </w:r>
      <w:proofErr w:type="spellStart"/>
      <w:r w:rsidRPr="00504A5E">
        <w:rPr>
          <w:rFonts w:ascii="Times New Roman" w:eastAsia="Times New Roman" w:hAnsi="Times New Roman" w:cs="Times New Roman"/>
          <w:sz w:val="24"/>
          <w:szCs w:val="24"/>
        </w:rPr>
        <w:t>Celestrak</w:t>
      </w:r>
      <w:proofErr w:type="spellEnd"/>
      <w:r w:rsidRPr="00504A5E">
        <w:rPr>
          <w:rFonts w:ascii="Times New Roman" w:eastAsia="Times New Roman" w:hAnsi="Times New Roman" w:cs="Times New Roman"/>
          <w:sz w:val="24"/>
          <w:szCs w:val="24"/>
        </w:rPr>
        <w:t xml:space="preserve"> (</w:t>
      </w:r>
      <w:hyperlink r:id="rId5" w:tgtFrame="_new" w:history="1">
        <w:r w:rsidRPr="00504A5E">
          <w:rPr>
            <w:rFonts w:ascii="Times New Roman" w:eastAsia="Times New Roman" w:hAnsi="Times New Roman" w:cs="Times New Roman"/>
            <w:color w:val="0000FF"/>
            <w:sz w:val="24"/>
            <w:szCs w:val="24"/>
            <w:u w:val="single"/>
          </w:rPr>
          <w:t>https://celestrak.org</w:t>
        </w:r>
      </w:hyperlink>
      <w:r w:rsidRPr="00504A5E">
        <w:rPr>
          <w:rFonts w:ascii="Times New Roman" w:eastAsia="Times New Roman" w:hAnsi="Times New Roman" w:cs="Times New Roman"/>
          <w:sz w:val="24"/>
          <w:szCs w:val="24"/>
        </w:rPr>
        <w:t>) → provides updated TLE data.</w:t>
      </w:r>
    </w:p>
    <w:p w:rsidR="00504A5E" w:rsidRPr="00504A5E" w:rsidRDefault="00504A5E" w:rsidP="00504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TLE = Two Line Element → describes satellite orbit.</w:t>
      </w:r>
    </w:p>
    <w:p w:rsidR="00504A5E" w:rsidRPr="00504A5E" w:rsidRDefault="00504A5E" w:rsidP="00504A5E">
      <w:pPr>
        <w:spacing w:before="100" w:beforeAutospacing="1" w:after="100" w:afterAutospacing="1" w:line="240" w:lineRule="auto"/>
        <w:outlineLvl w:val="2"/>
        <w:rPr>
          <w:rFonts w:ascii="Times New Roman" w:eastAsia="Times New Roman" w:hAnsi="Times New Roman" w:cs="Times New Roman"/>
          <w:b/>
          <w:bCs/>
          <w:sz w:val="27"/>
          <w:szCs w:val="27"/>
        </w:rPr>
      </w:pPr>
      <w:r w:rsidRPr="00504A5E">
        <w:rPr>
          <w:rFonts w:ascii="Times New Roman" w:eastAsia="Times New Roman" w:hAnsi="Times New Roman" w:cs="Times New Roman"/>
          <w:b/>
          <w:bCs/>
          <w:sz w:val="27"/>
          <w:szCs w:val="27"/>
        </w:rPr>
        <w:t>2.2 Orbit Classification Tool</w:t>
      </w:r>
    </w:p>
    <w:p w:rsidR="00504A5E" w:rsidRPr="00504A5E" w:rsidRDefault="00504A5E" w:rsidP="00504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lastRenderedPageBreak/>
        <w:t>Python-based tool.</w:t>
      </w:r>
    </w:p>
    <w:p w:rsidR="00504A5E" w:rsidRPr="00504A5E" w:rsidRDefault="00504A5E" w:rsidP="00504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Libraries used:</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04A5E">
        <w:rPr>
          <w:rFonts w:ascii="Courier New" w:eastAsia="Times New Roman" w:hAnsi="Courier New" w:cs="Courier New"/>
          <w:sz w:val="20"/>
          <w:szCs w:val="20"/>
        </w:rPr>
        <w:t>skyfield</w:t>
      </w:r>
      <w:proofErr w:type="spellEnd"/>
      <w:r w:rsidRPr="00504A5E">
        <w:rPr>
          <w:rFonts w:ascii="Times New Roman" w:eastAsia="Times New Roman" w:hAnsi="Times New Roman" w:cs="Times New Roman"/>
          <w:sz w:val="24"/>
          <w:szCs w:val="24"/>
        </w:rPr>
        <w:t xml:space="preserve"> for orbit calculations.</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Courier New" w:eastAsia="Times New Roman" w:hAnsi="Courier New" w:cs="Courier New"/>
          <w:sz w:val="20"/>
          <w:szCs w:val="20"/>
        </w:rPr>
        <w:t>pandas</w:t>
      </w:r>
      <w:r w:rsidRPr="00504A5E">
        <w:rPr>
          <w:rFonts w:ascii="Times New Roman" w:eastAsia="Times New Roman" w:hAnsi="Times New Roman" w:cs="Times New Roman"/>
          <w:sz w:val="24"/>
          <w:szCs w:val="24"/>
        </w:rPr>
        <w:t xml:space="preserve"> for data processing.</w:t>
      </w:r>
    </w:p>
    <w:p w:rsidR="00504A5E" w:rsidRPr="00504A5E" w:rsidRDefault="00504A5E" w:rsidP="00504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Parameters extracted:</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Altitude.</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Inclination.</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Orbit type:</w:t>
      </w:r>
    </w:p>
    <w:p w:rsidR="00504A5E" w:rsidRPr="00504A5E" w:rsidRDefault="00504A5E" w:rsidP="00504A5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LEO (&lt;2000 km).</w:t>
      </w:r>
    </w:p>
    <w:p w:rsidR="00504A5E" w:rsidRPr="00504A5E" w:rsidRDefault="00504A5E" w:rsidP="00504A5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MEO (2000–35786 km).</w:t>
      </w:r>
    </w:p>
    <w:p w:rsidR="00504A5E" w:rsidRPr="00504A5E" w:rsidRDefault="00504A5E" w:rsidP="00504A5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GEO (&gt;35786 km).</w:t>
      </w:r>
    </w:p>
    <w:p w:rsidR="00504A5E" w:rsidRPr="00504A5E" w:rsidRDefault="00504A5E" w:rsidP="00504A5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Polar (Inclination &gt; 75°).</w:t>
      </w:r>
    </w:p>
    <w:p w:rsidR="00504A5E" w:rsidRPr="00504A5E" w:rsidRDefault="00504A5E" w:rsidP="00504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Risk Zones defined:</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&lt;300 km → Drag risk zone.</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700–1000 km → Debris risk zone.</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35700–35850 km → GEO clutter zone.</w:t>
      </w:r>
    </w:p>
    <w:p w:rsidR="00504A5E" w:rsidRPr="00504A5E" w:rsidRDefault="00504A5E" w:rsidP="00504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Safe otherwise.</w:t>
      </w:r>
    </w:p>
    <w:p w:rsidR="00504A5E" w:rsidRPr="00504A5E" w:rsidRDefault="00504A5E" w:rsidP="00504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Output saved as CSV.</w:t>
      </w:r>
    </w:p>
    <w:p w:rsidR="00504A5E" w:rsidRPr="00504A5E" w:rsidRDefault="00504A5E" w:rsidP="00504A5E">
      <w:pPr>
        <w:spacing w:before="100" w:beforeAutospacing="1" w:after="100" w:afterAutospacing="1" w:line="240" w:lineRule="auto"/>
        <w:outlineLvl w:val="2"/>
        <w:rPr>
          <w:rFonts w:ascii="Times New Roman" w:eastAsia="Times New Roman" w:hAnsi="Times New Roman" w:cs="Times New Roman"/>
          <w:b/>
          <w:bCs/>
          <w:sz w:val="27"/>
          <w:szCs w:val="27"/>
        </w:rPr>
      </w:pPr>
      <w:r w:rsidRPr="00504A5E">
        <w:rPr>
          <w:rFonts w:ascii="Times New Roman" w:eastAsia="Times New Roman" w:hAnsi="Times New Roman" w:cs="Times New Roman"/>
          <w:b/>
          <w:bCs/>
          <w:sz w:val="27"/>
          <w:szCs w:val="27"/>
        </w:rPr>
        <w:t>2.3 Visualization Tool</w:t>
      </w:r>
    </w:p>
    <w:p w:rsidR="00504A5E" w:rsidRPr="00504A5E" w:rsidRDefault="00504A5E" w:rsidP="00504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b/>
          <w:bCs/>
          <w:sz w:val="24"/>
          <w:szCs w:val="24"/>
        </w:rPr>
        <w:t>3D Static Plot:</w:t>
      </w:r>
    </w:p>
    <w:p w:rsidR="00504A5E" w:rsidRPr="00504A5E" w:rsidRDefault="00504A5E" w:rsidP="00504A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Satellite positions shown around Earth.</w:t>
      </w:r>
    </w:p>
    <w:p w:rsidR="00504A5E" w:rsidRPr="00504A5E" w:rsidRDefault="00504A5E" w:rsidP="00504A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Orbit type visualized by color.</w:t>
      </w:r>
    </w:p>
    <w:p w:rsidR="00504A5E" w:rsidRPr="00504A5E" w:rsidRDefault="00504A5E" w:rsidP="00504A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Earth shown at center.</w:t>
      </w:r>
    </w:p>
    <w:p w:rsidR="00504A5E" w:rsidRPr="00504A5E" w:rsidRDefault="00504A5E" w:rsidP="00504A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Interactive plot with rotation and zoom.</w:t>
      </w:r>
    </w:p>
    <w:p w:rsidR="00504A5E" w:rsidRPr="00504A5E" w:rsidRDefault="00504A5E" w:rsidP="00504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4A5E">
        <w:rPr>
          <w:rFonts w:ascii="Times New Roman" w:eastAsia="Times New Roman" w:hAnsi="Times New Roman" w:cs="Times New Roman"/>
          <w:sz w:val="24"/>
          <w:szCs w:val="24"/>
        </w:rPr>
        <w:t>Libraries used:</w:t>
      </w:r>
    </w:p>
    <w:p w:rsidR="00504A5E" w:rsidRPr="00504A5E" w:rsidRDefault="00504A5E" w:rsidP="00504A5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04A5E">
        <w:rPr>
          <w:rFonts w:ascii="Courier New" w:eastAsia="Times New Roman" w:hAnsi="Courier New" w:cs="Courier New"/>
          <w:sz w:val="20"/>
          <w:szCs w:val="20"/>
        </w:rPr>
        <w:t>skyfield</w:t>
      </w:r>
      <w:proofErr w:type="spellEnd"/>
      <w:r w:rsidRPr="00504A5E">
        <w:rPr>
          <w:rFonts w:ascii="Times New Roman" w:eastAsia="Times New Roman" w:hAnsi="Times New Roman" w:cs="Times New Roman"/>
          <w:sz w:val="24"/>
          <w:szCs w:val="24"/>
        </w:rPr>
        <w:t xml:space="preserve"> for position calculation.</w:t>
      </w:r>
    </w:p>
    <w:p w:rsidR="00504A5E" w:rsidRDefault="00504A5E" w:rsidP="00504A5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04A5E">
        <w:rPr>
          <w:rFonts w:ascii="Courier New" w:eastAsia="Times New Roman" w:hAnsi="Courier New" w:cs="Courier New"/>
          <w:sz w:val="20"/>
          <w:szCs w:val="20"/>
        </w:rPr>
        <w:t>plotly</w:t>
      </w:r>
      <w:proofErr w:type="spellEnd"/>
      <w:r w:rsidRPr="00504A5E">
        <w:rPr>
          <w:rFonts w:ascii="Times New Roman" w:eastAsia="Times New Roman" w:hAnsi="Times New Roman" w:cs="Times New Roman"/>
          <w:sz w:val="24"/>
          <w:szCs w:val="24"/>
        </w:rPr>
        <w:t xml:space="preserve"> for visualization.</w:t>
      </w:r>
    </w:p>
    <w:p w:rsidR="002C7DD4" w:rsidRPr="00504A5E" w:rsidRDefault="002C7DD4" w:rsidP="002C7DD4">
      <w:pPr>
        <w:spacing w:before="100" w:beforeAutospacing="1" w:after="100" w:afterAutospacing="1" w:line="240" w:lineRule="auto"/>
        <w:ind w:left="1440"/>
        <w:rPr>
          <w:rFonts w:ascii="Times New Roman" w:eastAsia="Times New Roman" w:hAnsi="Times New Roman" w:cs="Times New Roman"/>
          <w:sz w:val="24"/>
          <w:szCs w:val="24"/>
        </w:rPr>
      </w:pPr>
    </w:p>
    <w:p w:rsidR="002C7DD4" w:rsidRDefault="002C7DD4" w:rsidP="002C7DD4">
      <w:pPr>
        <w:pStyle w:val="Heading3"/>
      </w:pPr>
      <w:r>
        <w:t>3. Results</w:t>
      </w:r>
    </w:p>
    <w:p w:rsidR="002C7DD4" w:rsidRDefault="002C7DD4" w:rsidP="002C7DD4">
      <w:pPr>
        <w:pStyle w:val="Heading4"/>
      </w:pPr>
      <w:r>
        <w:t>3.1 Overall Classification</w:t>
      </w:r>
    </w:p>
    <w:p w:rsidR="002C7DD4" w:rsidRDefault="002C7DD4" w:rsidP="002C7DD4">
      <w:pPr>
        <w:pStyle w:val="NormalWeb"/>
      </w:pPr>
      <w:r>
        <w:t xml:space="preserve">A total of </w:t>
      </w:r>
      <w:r>
        <w:rPr>
          <w:rStyle w:val="Strong"/>
          <w:rFonts w:eastAsiaTheme="majorEastAsia"/>
        </w:rPr>
        <w:t>11,757 satellites</w:t>
      </w:r>
      <w:r>
        <w:t xml:space="preserve"> were processed using the latest TLE (Two-Line Element) data.</w:t>
      </w:r>
    </w:p>
    <w:p w:rsidR="002C7DD4" w:rsidRDefault="002C7DD4" w:rsidP="002C7DD4">
      <w:pPr>
        <w:pStyle w:val="NormalWeb"/>
      </w:pPr>
      <w:r>
        <w:t>The breakdown of orbit types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948"/>
      </w:tblGrid>
      <w:tr w:rsidR="002C7DD4" w:rsidTr="002C7DD4">
        <w:trPr>
          <w:tblHeader/>
          <w:tblCellSpacing w:w="15" w:type="dxa"/>
        </w:trPr>
        <w:tc>
          <w:tcPr>
            <w:tcW w:w="0" w:type="auto"/>
            <w:vAlign w:val="center"/>
            <w:hideMark/>
          </w:tcPr>
          <w:p w:rsidR="002C7DD4" w:rsidRDefault="002C7DD4">
            <w:pPr>
              <w:jc w:val="center"/>
              <w:rPr>
                <w:b/>
                <w:bCs/>
              </w:rPr>
            </w:pPr>
            <w:r>
              <w:rPr>
                <w:b/>
                <w:bCs/>
              </w:rPr>
              <w:t>Orbit Type</w:t>
            </w:r>
          </w:p>
        </w:tc>
        <w:tc>
          <w:tcPr>
            <w:tcW w:w="0" w:type="auto"/>
            <w:vAlign w:val="center"/>
            <w:hideMark/>
          </w:tcPr>
          <w:p w:rsidR="002C7DD4" w:rsidRDefault="002C7DD4">
            <w:pPr>
              <w:jc w:val="center"/>
              <w:rPr>
                <w:b/>
                <w:bCs/>
              </w:rPr>
            </w:pPr>
            <w:r>
              <w:rPr>
                <w:b/>
                <w:bCs/>
              </w:rPr>
              <w:t>Number of Satellites</w:t>
            </w:r>
          </w:p>
        </w:tc>
      </w:tr>
      <w:tr w:rsidR="002C7DD4" w:rsidTr="002C7DD4">
        <w:trPr>
          <w:tblCellSpacing w:w="15" w:type="dxa"/>
        </w:trPr>
        <w:tc>
          <w:tcPr>
            <w:tcW w:w="0" w:type="auto"/>
            <w:vAlign w:val="center"/>
            <w:hideMark/>
          </w:tcPr>
          <w:p w:rsidR="002C7DD4" w:rsidRDefault="002C7DD4">
            <w:r>
              <w:t>LEO</w:t>
            </w:r>
          </w:p>
        </w:tc>
        <w:tc>
          <w:tcPr>
            <w:tcW w:w="0" w:type="auto"/>
            <w:vAlign w:val="center"/>
            <w:hideMark/>
          </w:tcPr>
          <w:p w:rsidR="002C7DD4" w:rsidRDefault="002C7DD4">
            <w:r>
              <w:t>10,949</w:t>
            </w:r>
          </w:p>
        </w:tc>
      </w:tr>
      <w:tr w:rsidR="002C7DD4" w:rsidTr="002C7DD4">
        <w:trPr>
          <w:tblCellSpacing w:w="15" w:type="dxa"/>
        </w:trPr>
        <w:tc>
          <w:tcPr>
            <w:tcW w:w="0" w:type="auto"/>
            <w:vAlign w:val="center"/>
            <w:hideMark/>
          </w:tcPr>
          <w:p w:rsidR="002C7DD4" w:rsidRDefault="002C7DD4">
            <w:r>
              <w:t>MEO</w:t>
            </w:r>
          </w:p>
        </w:tc>
        <w:tc>
          <w:tcPr>
            <w:tcW w:w="0" w:type="auto"/>
            <w:vAlign w:val="center"/>
            <w:hideMark/>
          </w:tcPr>
          <w:p w:rsidR="002C7DD4" w:rsidRDefault="002C7DD4">
            <w:r>
              <w:t>450</w:t>
            </w:r>
          </w:p>
        </w:tc>
      </w:tr>
      <w:tr w:rsidR="002C7DD4" w:rsidTr="002C7DD4">
        <w:trPr>
          <w:tblCellSpacing w:w="15" w:type="dxa"/>
        </w:trPr>
        <w:tc>
          <w:tcPr>
            <w:tcW w:w="0" w:type="auto"/>
            <w:vAlign w:val="center"/>
            <w:hideMark/>
          </w:tcPr>
          <w:p w:rsidR="002C7DD4" w:rsidRDefault="002C7DD4">
            <w:r>
              <w:lastRenderedPageBreak/>
              <w:t>GEO</w:t>
            </w:r>
          </w:p>
        </w:tc>
        <w:tc>
          <w:tcPr>
            <w:tcW w:w="0" w:type="auto"/>
            <w:vAlign w:val="center"/>
            <w:hideMark/>
          </w:tcPr>
          <w:p w:rsidR="002C7DD4" w:rsidRDefault="002C7DD4">
            <w:r>
              <w:t>358</w:t>
            </w:r>
          </w:p>
        </w:tc>
      </w:tr>
    </w:tbl>
    <w:p w:rsidR="002C7DD4" w:rsidRDefault="002C7DD4" w:rsidP="002C7DD4">
      <w:pPr>
        <w:pStyle w:val="Heading4"/>
      </w:pPr>
      <w:r>
        <w:t>3.2 Risk Zone Analysis</w:t>
      </w:r>
    </w:p>
    <w:p w:rsidR="002C7DD4" w:rsidRDefault="002C7DD4" w:rsidP="002C7DD4">
      <w:pPr>
        <w:pStyle w:val="NormalWeb"/>
      </w:pPr>
      <w:r>
        <w:t xml:space="preserve">Out of the total satellites, </w:t>
      </w:r>
      <w:r>
        <w:rPr>
          <w:rStyle w:val="Strong"/>
          <w:rFonts w:eastAsiaTheme="majorEastAsia"/>
        </w:rPr>
        <w:t>954</w:t>
      </w:r>
      <w:r>
        <w:t xml:space="preserve"> were classified in the </w:t>
      </w:r>
      <w:r>
        <w:rPr>
          <w:rStyle w:val="Strong"/>
          <w:rFonts w:eastAsiaTheme="majorEastAsia"/>
        </w:rPr>
        <w:t>Risk Zone</w:t>
      </w:r>
      <w:r>
        <w:t xml:space="preserve"> (altitude &lt; 300 km), representing satellites at increased risk of atmospheric re-entry or collision.</w:t>
      </w:r>
    </w:p>
    <w:p w:rsidR="002C7DD4" w:rsidRDefault="002C7DD4" w:rsidP="002C7DD4">
      <w:pPr>
        <w:pStyle w:val="NormalWeb"/>
      </w:pPr>
      <w:r>
        <w:t xml:space="preserve">The remaining </w:t>
      </w:r>
      <w:r>
        <w:rPr>
          <w:rStyle w:val="Strong"/>
          <w:rFonts w:eastAsiaTheme="majorEastAsia"/>
        </w:rPr>
        <w:t>10,803</w:t>
      </w:r>
      <w:r>
        <w:t xml:space="preserve"> satellites were classified as </w:t>
      </w:r>
      <w:r>
        <w:rPr>
          <w:rStyle w:val="Strong"/>
          <w:rFonts w:eastAsiaTheme="majorEastAsia"/>
        </w:rPr>
        <w:t>Safe</w:t>
      </w:r>
      <w:r>
        <w:t>.</w:t>
      </w:r>
    </w:p>
    <w:p w:rsidR="002C7DD4" w:rsidRDefault="002C7DD4" w:rsidP="002C7DD4">
      <w:pPr>
        <w:pStyle w:val="NormalWeb"/>
      </w:pPr>
      <w:r>
        <w:rPr>
          <w:rStyle w:val="Strong"/>
          <w:rFonts w:eastAsiaTheme="majorEastAsia"/>
        </w:rPr>
        <w:t>Sample of Risk Zone Satellites: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gridCol w:w="1035"/>
        <w:gridCol w:w="804"/>
        <w:gridCol w:w="540"/>
        <w:gridCol w:w="531"/>
      </w:tblGrid>
      <w:tr w:rsidR="000D41EB" w:rsidTr="002C7DD4">
        <w:trPr>
          <w:tblHeader/>
          <w:tblCellSpacing w:w="15" w:type="dxa"/>
        </w:trPr>
        <w:tc>
          <w:tcPr>
            <w:tcW w:w="0" w:type="auto"/>
            <w:vAlign w:val="center"/>
            <w:hideMark/>
          </w:tcPr>
          <w:p w:rsidR="002C7DD4" w:rsidRDefault="002C7DD4">
            <w:pPr>
              <w:jc w:val="center"/>
              <w:rPr>
                <w:b/>
                <w:bCs/>
              </w:rPr>
            </w:pPr>
            <w:r>
              <w:rPr>
                <w:b/>
                <w:bCs/>
              </w:rPr>
              <w:t>Satellite Name</w:t>
            </w:r>
          </w:p>
        </w:tc>
        <w:tc>
          <w:tcPr>
            <w:tcW w:w="0" w:type="auto"/>
            <w:vAlign w:val="center"/>
            <w:hideMark/>
          </w:tcPr>
          <w:p w:rsidR="002C7DD4" w:rsidRDefault="002C7DD4">
            <w:pPr>
              <w:jc w:val="center"/>
              <w:rPr>
                <w:b/>
                <w:bCs/>
              </w:rPr>
            </w:pPr>
            <w:r>
              <w:rPr>
                <w:b/>
                <w:bCs/>
              </w:rPr>
              <w:t>Inclination (</w:t>
            </w:r>
            <w:proofErr w:type="spellStart"/>
            <w:r>
              <w:rPr>
                <w:b/>
                <w:bCs/>
              </w:rPr>
              <w:t>deg</w:t>
            </w:r>
            <w:proofErr w:type="spellEnd"/>
            <w:r>
              <w:rPr>
                <w:b/>
                <w:bCs/>
              </w:rPr>
              <w:t>)</w:t>
            </w:r>
          </w:p>
        </w:tc>
        <w:tc>
          <w:tcPr>
            <w:tcW w:w="0" w:type="auto"/>
            <w:vAlign w:val="center"/>
            <w:hideMark/>
          </w:tcPr>
          <w:p w:rsidR="002C7DD4" w:rsidRDefault="002C7DD4">
            <w:pPr>
              <w:jc w:val="center"/>
              <w:rPr>
                <w:b/>
                <w:bCs/>
              </w:rPr>
            </w:pPr>
            <w:r>
              <w:rPr>
                <w:b/>
                <w:bCs/>
              </w:rPr>
              <w:t>Altitude (km)</w:t>
            </w:r>
          </w:p>
        </w:tc>
        <w:tc>
          <w:tcPr>
            <w:tcW w:w="0" w:type="auto"/>
            <w:vAlign w:val="center"/>
            <w:hideMark/>
          </w:tcPr>
          <w:p w:rsidR="002C7DD4" w:rsidRDefault="002C7DD4">
            <w:pPr>
              <w:jc w:val="center"/>
              <w:rPr>
                <w:b/>
                <w:bCs/>
              </w:rPr>
            </w:pPr>
            <w:r>
              <w:rPr>
                <w:b/>
                <w:bCs/>
              </w:rPr>
              <w:t>Orbit Type</w:t>
            </w:r>
          </w:p>
        </w:tc>
        <w:tc>
          <w:tcPr>
            <w:tcW w:w="0" w:type="auto"/>
            <w:vAlign w:val="center"/>
            <w:hideMark/>
          </w:tcPr>
          <w:p w:rsidR="002C7DD4" w:rsidRDefault="002C7DD4">
            <w:pPr>
              <w:jc w:val="center"/>
              <w:rPr>
                <w:b/>
                <w:bCs/>
              </w:rPr>
            </w:pPr>
            <w:r>
              <w:rPr>
                <w:b/>
                <w:bCs/>
              </w:rPr>
              <w:t>Risk Zone</w:t>
            </w:r>
          </w:p>
        </w:tc>
      </w:tr>
      <w:tr w:rsidR="000D41EB" w:rsidTr="002C7DD4">
        <w:trPr>
          <w:tblCellSpacing w:w="15" w:type="dxa"/>
        </w:trPr>
        <w:tc>
          <w:tcPr>
            <w:tcW w:w="0" w:type="auto"/>
            <w:vAlign w:val="center"/>
            <w:hideMark/>
          </w:tcPr>
          <w:p w:rsidR="002C7DD4" w:rsidRDefault="002C7DD4">
            <w:r>
              <w:t>GENESIS 1</w:t>
            </w:r>
          </w:p>
        </w:tc>
        <w:tc>
          <w:tcPr>
            <w:tcW w:w="0" w:type="auto"/>
            <w:vAlign w:val="center"/>
            <w:hideMark/>
          </w:tcPr>
          <w:p w:rsidR="002C7DD4" w:rsidRDefault="002C7DD4">
            <w:r>
              <w:t>1.13</w:t>
            </w:r>
          </w:p>
        </w:tc>
        <w:tc>
          <w:tcPr>
            <w:tcW w:w="0" w:type="auto"/>
            <w:vAlign w:val="center"/>
            <w:hideMark/>
          </w:tcPr>
          <w:p w:rsidR="002C7DD4" w:rsidRDefault="002C7DD4">
            <w:r>
              <w:t>283.15</w:t>
            </w:r>
          </w:p>
        </w:tc>
        <w:tc>
          <w:tcPr>
            <w:tcW w:w="0" w:type="auto"/>
            <w:vAlign w:val="center"/>
            <w:hideMark/>
          </w:tcPr>
          <w:p w:rsidR="002C7DD4" w:rsidRDefault="002C7DD4">
            <w:r>
              <w:t>LEO</w:t>
            </w:r>
          </w:p>
        </w:tc>
        <w:tc>
          <w:tcPr>
            <w:tcW w:w="0" w:type="auto"/>
            <w:vAlign w:val="center"/>
            <w:hideMark/>
          </w:tcPr>
          <w:p w:rsidR="002C7DD4" w:rsidRDefault="002C7DD4">
            <w:r>
              <w:t>Risk</w:t>
            </w:r>
          </w:p>
        </w:tc>
      </w:tr>
      <w:tr w:rsidR="000D41EB" w:rsidTr="002C7DD4">
        <w:trPr>
          <w:tblCellSpacing w:w="15" w:type="dxa"/>
        </w:trPr>
        <w:tc>
          <w:tcPr>
            <w:tcW w:w="0" w:type="auto"/>
            <w:vAlign w:val="center"/>
            <w:hideMark/>
          </w:tcPr>
          <w:p w:rsidR="002C7DD4" w:rsidRDefault="002C7DD4">
            <w:r>
              <w:t>GENESIS 2</w:t>
            </w:r>
          </w:p>
        </w:tc>
        <w:tc>
          <w:tcPr>
            <w:tcW w:w="0" w:type="auto"/>
            <w:vAlign w:val="center"/>
            <w:hideMark/>
          </w:tcPr>
          <w:p w:rsidR="002C7DD4" w:rsidRDefault="002C7DD4">
            <w:r>
              <w:t>1.13</w:t>
            </w:r>
          </w:p>
        </w:tc>
        <w:tc>
          <w:tcPr>
            <w:tcW w:w="0" w:type="auto"/>
            <w:vAlign w:val="center"/>
            <w:hideMark/>
          </w:tcPr>
          <w:p w:rsidR="002C7DD4" w:rsidRDefault="002C7DD4">
            <w:r>
              <w:t>344.40</w:t>
            </w:r>
          </w:p>
        </w:tc>
        <w:tc>
          <w:tcPr>
            <w:tcW w:w="0" w:type="auto"/>
            <w:vAlign w:val="center"/>
            <w:hideMark/>
          </w:tcPr>
          <w:p w:rsidR="002C7DD4" w:rsidRDefault="002C7DD4">
            <w:r>
              <w:t>LEO</w:t>
            </w:r>
          </w:p>
        </w:tc>
        <w:tc>
          <w:tcPr>
            <w:tcW w:w="0" w:type="auto"/>
            <w:vAlign w:val="center"/>
            <w:hideMark/>
          </w:tcPr>
          <w:p w:rsidR="002C7DD4" w:rsidRDefault="002C7DD4">
            <w:r>
              <w:t>Risk</w:t>
            </w:r>
          </w:p>
        </w:tc>
      </w:tr>
      <w:tr w:rsidR="000D41EB" w:rsidTr="002C7DD4">
        <w:trPr>
          <w:tblCellSpacing w:w="15" w:type="dxa"/>
        </w:trPr>
        <w:tc>
          <w:tcPr>
            <w:tcW w:w="0" w:type="auto"/>
            <w:vAlign w:val="center"/>
            <w:hideMark/>
          </w:tcPr>
          <w:p w:rsidR="002C7DD4" w:rsidRDefault="002C7DD4">
            <w:r>
              <w:t>YAOGAN-6</w:t>
            </w:r>
          </w:p>
        </w:tc>
        <w:tc>
          <w:tcPr>
            <w:tcW w:w="0" w:type="auto"/>
            <w:vAlign w:val="center"/>
            <w:hideMark/>
          </w:tcPr>
          <w:p w:rsidR="002C7DD4" w:rsidRDefault="002C7DD4">
            <w:r>
              <w:t>1.70</w:t>
            </w:r>
          </w:p>
        </w:tc>
        <w:tc>
          <w:tcPr>
            <w:tcW w:w="0" w:type="auto"/>
            <w:vAlign w:val="center"/>
            <w:hideMark/>
          </w:tcPr>
          <w:p w:rsidR="002C7DD4" w:rsidRDefault="002C7DD4">
            <w:r>
              <w:t>227.66</w:t>
            </w:r>
          </w:p>
        </w:tc>
        <w:tc>
          <w:tcPr>
            <w:tcW w:w="0" w:type="auto"/>
            <w:vAlign w:val="center"/>
            <w:hideMark/>
          </w:tcPr>
          <w:p w:rsidR="002C7DD4" w:rsidRDefault="002C7DD4">
            <w:r>
              <w:t>LEO</w:t>
            </w:r>
          </w:p>
        </w:tc>
        <w:tc>
          <w:tcPr>
            <w:tcW w:w="0" w:type="auto"/>
            <w:vAlign w:val="center"/>
            <w:hideMark/>
          </w:tcPr>
          <w:p w:rsidR="002C7DD4" w:rsidRDefault="002C7DD4">
            <w:r>
              <w:t>Risk</w:t>
            </w:r>
          </w:p>
        </w:tc>
      </w:tr>
      <w:tr w:rsidR="000D41EB" w:rsidTr="002C7DD4">
        <w:trPr>
          <w:tblCellSpacing w:w="15" w:type="dxa"/>
        </w:trPr>
        <w:tc>
          <w:tcPr>
            <w:tcW w:w="0" w:type="auto"/>
            <w:vAlign w:val="center"/>
            <w:hideMark/>
          </w:tcPr>
          <w:p w:rsidR="002C7DD4" w:rsidRDefault="002C7DD4">
            <w:r>
              <w:t>TELEOS-1</w:t>
            </w:r>
          </w:p>
        </w:tc>
        <w:tc>
          <w:tcPr>
            <w:tcW w:w="0" w:type="auto"/>
            <w:vAlign w:val="center"/>
            <w:hideMark/>
          </w:tcPr>
          <w:p w:rsidR="002C7DD4" w:rsidRDefault="002C7DD4">
            <w:r>
              <w:t>0.26</w:t>
            </w:r>
          </w:p>
        </w:tc>
        <w:tc>
          <w:tcPr>
            <w:tcW w:w="0" w:type="auto"/>
            <w:vAlign w:val="center"/>
            <w:hideMark/>
          </w:tcPr>
          <w:p w:rsidR="002C7DD4" w:rsidRDefault="002C7DD4">
            <w:r>
              <w:t>280.93</w:t>
            </w:r>
          </w:p>
        </w:tc>
        <w:tc>
          <w:tcPr>
            <w:tcW w:w="0" w:type="auto"/>
            <w:vAlign w:val="center"/>
            <w:hideMark/>
          </w:tcPr>
          <w:p w:rsidR="002C7DD4" w:rsidRDefault="002C7DD4">
            <w:r>
              <w:t>LEO</w:t>
            </w:r>
          </w:p>
        </w:tc>
        <w:tc>
          <w:tcPr>
            <w:tcW w:w="0" w:type="auto"/>
            <w:vAlign w:val="center"/>
            <w:hideMark/>
          </w:tcPr>
          <w:p w:rsidR="002C7DD4" w:rsidRDefault="002C7DD4">
            <w:r>
              <w:t>Risk</w:t>
            </w:r>
          </w:p>
        </w:tc>
      </w:tr>
      <w:tr w:rsidR="000D41EB" w:rsidTr="002C7DD4">
        <w:trPr>
          <w:tblCellSpacing w:w="15" w:type="dxa"/>
        </w:trPr>
        <w:tc>
          <w:tcPr>
            <w:tcW w:w="0" w:type="auto"/>
            <w:vAlign w:val="center"/>
            <w:hideMark/>
          </w:tcPr>
          <w:p w:rsidR="002C7DD4" w:rsidRDefault="002C7DD4">
            <w:r>
              <w:t>CASSIOPE</w:t>
            </w:r>
          </w:p>
        </w:tc>
        <w:tc>
          <w:tcPr>
            <w:tcW w:w="0" w:type="auto"/>
            <w:vAlign w:val="center"/>
            <w:hideMark/>
          </w:tcPr>
          <w:p w:rsidR="002C7DD4" w:rsidRDefault="002C7DD4">
            <w:r>
              <w:t>1.41</w:t>
            </w:r>
          </w:p>
        </w:tc>
        <w:tc>
          <w:tcPr>
            <w:tcW w:w="0" w:type="auto"/>
            <w:vAlign w:val="center"/>
            <w:hideMark/>
          </w:tcPr>
          <w:p w:rsidR="002C7DD4" w:rsidRDefault="002C7DD4">
            <w:r>
              <w:t>336.55</w:t>
            </w:r>
          </w:p>
        </w:tc>
        <w:tc>
          <w:tcPr>
            <w:tcW w:w="0" w:type="auto"/>
            <w:vAlign w:val="center"/>
            <w:hideMark/>
          </w:tcPr>
          <w:p w:rsidR="002C7DD4" w:rsidRDefault="002C7DD4">
            <w:r>
              <w:t>LEO</w:t>
            </w:r>
          </w:p>
        </w:tc>
        <w:tc>
          <w:tcPr>
            <w:tcW w:w="0" w:type="auto"/>
            <w:vAlign w:val="center"/>
            <w:hideMark/>
          </w:tcPr>
          <w:p w:rsidR="002C7DD4" w:rsidRDefault="002C7DD4">
            <w:r>
              <w:t>Risk</w:t>
            </w:r>
          </w:p>
        </w:tc>
      </w:tr>
      <w:tr w:rsidR="000D41EB" w:rsidTr="002C7DD4">
        <w:trPr>
          <w:tblCellSpacing w:w="15" w:type="dxa"/>
        </w:trPr>
        <w:tc>
          <w:tcPr>
            <w:tcW w:w="0" w:type="auto"/>
            <w:vAlign w:val="center"/>
          </w:tcPr>
          <w:p w:rsidR="007D5B15" w:rsidRDefault="007D5B15"/>
          <w:p w:rsidR="007D5B15" w:rsidRDefault="007D5B15"/>
          <w:p w:rsidR="007D5B15" w:rsidRDefault="007D5B15">
            <w:bookmarkStart w:id="0" w:name="_GoBack"/>
            <w:r w:rsidRPr="007D5B15">
              <w:lastRenderedPageBreak/>
              <w:drawing>
                <wp:inline distT="0" distB="0" distL="0" distR="0" wp14:anchorId="049BA19B" wp14:editId="619361CB">
                  <wp:extent cx="4048125" cy="311213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3112135"/>
                          </a:xfrm>
                          <a:prstGeom prst="rect">
                            <a:avLst/>
                          </a:prstGeom>
                        </pic:spPr>
                      </pic:pic>
                    </a:graphicData>
                  </a:graphic>
                </wp:inline>
              </w:drawing>
            </w:r>
            <w:bookmarkEnd w:id="0"/>
          </w:p>
          <w:p w:rsidR="007D5B15" w:rsidRDefault="007D5B15"/>
        </w:tc>
        <w:tc>
          <w:tcPr>
            <w:tcW w:w="0" w:type="auto"/>
            <w:vAlign w:val="center"/>
          </w:tcPr>
          <w:p w:rsidR="007D5B15" w:rsidRDefault="007D5B15"/>
        </w:tc>
        <w:tc>
          <w:tcPr>
            <w:tcW w:w="0" w:type="auto"/>
            <w:vAlign w:val="center"/>
          </w:tcPr>
          <w:p w:rsidR="007D5B15" w:rsidRDefault="007D5B15"/>
        </w:tc>
        <w:tc>
          <w:tcPr>
            <w:tcW w:w="0" w:type="auto"/>
            <w:vAlign w:val="center"/>
          </w:tcPr>
          <w:p w:rsidR="007D5B15" w:rsidRDefault="007D5B15"/>
        </w:tc>
        <w:tc>
          <w:tcPr>
            <w:tcW w:w="0" w:type="auto"/>
            <w:vAlign w:val="center"/>
          </w:tcPr>
          <w:p w:rsidR="007D5B15" w:rsidRDefault="007D5B15"/>
        </w:tc>
      </w:tr>
      <w:tr w:rsidR="000D41EB" w:rsidTr="002C7DD4">
        <w:trPr>
          <w:tblCellSpacing w:w="15" w:type="dxa"/>
        </w:trPr>
        <w:tc>
          <w:tcPr>
            <w:tcW w:w="0" w:type="auto"/>
            <w:vAlign w:val="center"/>
          </w:tcPr>
          <w:p w:rsidR="007D5B15" w:rsidRDefault="007D5B15"/>
        </w:tc>
        <w:tc>
          <w:tcPr>
            <w:tcW w:w="0" w:type="auto"/>
            <w:vAlign w:val="center"/>
          </w:tcPr>
          <w:p w:rsidR="007D5B15" w:rsidRDefault="007D5B15"/>
        </w:tc>
        <w:tc>
          <w:tcPr>
            <w:tcW w:w="0" w:type="auto"/>
            <w:vAlign w:val="center"/>
          </w:tcPr>
          <w:p w:rsidR="007D5B15" w:rsidRDefault="007D5B15"/>
        </w:tc>
        <w:tc>
          <w:tcPr>
            <w:tcW w:w="0" w:type="auto"/>
            <w:vAlign w:val="center"/>
          </w:tcPr>
          <w:p w:rsidR="007D5B15" w:rsidRDefault="007D5B15"/>
        </w:tc>
        <w:tc>
          <w:tcPr>
            <w:tcW w:w="0" w:type="auto"/>
            <w:vAlign w:val="center"/>
          </w:tcPr>
          <w:p w:rsidR="007D5B15" w:rsidRDefault="007D5B15"/>
        </w:tc>
      </w:tr>
      <w:tr w:rsidR="000D41EB" w:rsidTr="002C7DD4">
        <w:trPr>
          <w:tblCellSpacing w:w="15" w:type="dxa"/>
        </w:trPr>
        <w:tc>
          <w:tcPr>
            <w:tcW w:w="0" w:type="auto"/>
            <w:vAlign w:val="center"/>
            <w:hideMark/>
          </w:tcPr>
          <w:p w:rsidR="002C7DD4" w:rsidRDefault="002C7DD4">
            <w:r>
              <w:t>...</w:t>
            </w:r>
          </w:p>
        </w:tc>
        <w:tc>
          <w:tcPr>
            <w:tcW w:w="0" w:type="auto"/>
            <w:vAlign w:val="center"/>
            <w:hideMark/>
          </w:tcPr>
          <w:p w:rsidR="002C7DD4" w:rsidRDefault="002C7DD4"/>
        </w:tc>
        <w:tc>
          <w:tcPr>
            <w:tcW w:w="0" w:type="auto"/>
            <w:vAlign w:val="center"/>
            <w:hideMark/>
          </w:tcPr>
          <w:p w:rsidR="002C7DD4" w:rsidRDefault="002C7DD4">
            <w:pPr>
              <w:rPr>
                <w:sz w:val="20"/>
                <w:szCs w:val="20"/>
              </w:rPr>
            </w:pPr>
          </w:p>
        </w:tc>
        <w:tc>
          <w:tcPr>
            <w:tcW w:w="0" w:type="auto"/>
            <w:vAlign w:val="center"/>
            <w:hideMark/>
          </w:tcPr>
          <w:p w:rsidR="002C7DD4" w:rsidRDefault="002C7DD4">
            <w:pPr>
              <w:rPr>
                <w:sz w:val="20"/>
                <w:szCs w:val="20"/>
              </w:rPr>
            </w:pPr>
          </w:p>
        </w:tc>
        <w:tc>
          <w:tcPr>
            <w:tcW w:w="0" w:type="auto"/>
            <w:vAlign w:val="center"/>
            <w:hideMark/>
          </w:tcPr>
          <w:p w:rsidR="002C7DD4" w:rsidRDefault="002C7DD4">
            <w:pPr>
              <w:rPr>
                <w:sz w:val="20"/>
                <w:szCs w:val="20"/>
              </w:rPr>
            </w:pPr>
          </w:p>
        </w:tc>
      </w:tr>
    </w:tbl>
    <w:p w:rsidR="007E607D" w:rsidRDefault="007E607D" w:rsidP="007E607D">
      <w:pPr>
        <w:pStyle w:val="Heading2"/>
      </w:pPr>
      <w:r>
        <w:t>. Visualization</w:t>
      </w:r>
    </w:p>
    <w:p w:rsidR="007E607D" w:rsidRDefault="007E607D" w:rsidP="007E607D">
      <w:pPr>
        <w:pStyle w:val="Heading3"/>
      </w:pPr>
      <w:r>
        <w:t>4.1 3D Visualization of Satellite Orbits</w:t>
      </w:r>
    </w:p>
    <w:p w:rsidR="007E607D" w:rsidRDefault="007E607D" w:rsidP="007E607D">
      <w:pPr>
        <w:pStyle w:val="NormalWeb"/>
      </w:pPr>
      <w:r>
        <w:t xml:space="preserve">This figure shows a </w:t>
      </w:r>
      <w:r>
        <w:rPr>
          <w:rStyle w:val="Strong"/>
          <w:rFonts w:eastAsiaTheme="majorEastAsia"/>
        </w:rPr>
        <w:t>3D interactive static visualization</w:t>
      </w:r>
      <w:r>
        <w:t xml:space="preserve"> of satellite orbits produced by the tool.</w:t>
      </w:r>
    </w:p>
    <w:p w:rsidR="007E607D" w:rsidRDefault="007E607D" w:rsidP="007E607D">
      <w:pPr>
        <w:pStyle w:val="NormalWeb"/>
      </w:pPr>
      <w:r>
        <w:rPr>
          <w:rStyle w:val="Emphasis"/>
        </w:rPr>
        <w:t>The visualization tool developed in this project is intended primarily for educational and awareness purposes. By providing an intuitive 3D interactive representation of satellite orbits, the tool enables students, educators, and general audiences to better understand the complex dynamics of Earth’s satellite population. It serves as an accessible entry point into topics such as orbital mechanics, satellite classification, and space traffic awareness, helping to bridge the gap between raw orbital data and visual understanding.</w:t>
      </w:r>
    </w:p>
    <w:p w:rsidR="007E607D" w:rsidRDefault="007E607D" w:rsidP="00504A5E"/>
    <w:p w:rsidR="007E607D" w:rsidRPr="007E607D" w:rsidRDefault="007E607D" w:rsidP="007E607D">
      <w:r w:rsidRPr="007E607D">
        <w:lastRenderedPageBreak/>
        <w:drawing>
          <wp:inline distT="0" distB="0" distL="0" distR="0" wp14:anchorId="742A8C5E" wp14:editId="1F57F294">
            <wp:extent cx="4105848" cy="2915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2915057"/>
                    </a:xfrm>
                    <a:prstGeom prst="rect">
                      <a:avLst/>
                    </a:prstGeom>
                  </pic:spPr>
                </pic:pic>
              </a:graphicData>
            </a:graphic>
          </wp:inline>
        </w:drawing>
      </w:r>
      <w:r w:rsidR="00BE3893" w:rsidRPr="00BE3893">
        <w:drawing>
          <wp:inline distT="0" distB="0" distL="0" distR="0" wp14:anchorId="2315BBA9" wp14:editId="3AF28750">
            <wp:extent cx="1695687" cy="47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687" cy="476316"/>
                    </a:xfrm>
                    <a:prstGeom prst="rect">
                      <a:avLst/>
                    </a:prstGeom>
                  </pic:spPr>
                </pic:pic>
              </a:graphicData>
            </a:graphic>
          </wp:inline>
        </w:drawing>
      </w:r>
      <w:r w:rsidR="00BE3893" w:rsidRPr="007E607D">
        <w:t xml:space="preserve"> </w:t>
      </w:r>
    </w:p>
    <w:p w:rsidR="007E607D" w:rsidRPr="007E607D" w:rsidRDefault="007E607D" w:rsidP="007E607D"/>
    <w:p w:rsidR="007E607D" w:rsidRPr="007E607D" w:rsidRDefault="007E607D" w:rsidP="007E607D"/>
    <w:p w:rsidR="007E607D" w:rsidRPr="007E607D" w:rsidRDefault="007E607D" w:rsidP="007E607D"/>
    <w:p w:rsidR="007E607D" w:rsidRDefault="007E607D" w:rsidP="007E607D"/>
    <w:p w:rsidR="007E607D" w:rsidRDefault="007E607D" w:rsidP="007E607D">
      <w:pPr>
        <w:pStyle w:val="Heading2"/>
      </w:pPr>
      <w:r>
        <w:t>4</w:t>
      </w:r>
    </w:p>
    <w:p w:rsidR="00BE3893" w:rsidRDefault="00BE3893" w:rsidP="00BE3893">
      <w:pPr>
        <w:pStyle w:val="Heading2"/>
      </w:pPr>
      <w:r>
        <w:t>5. Conclusion</w:t>
      </w:r>
    </w:p>
    <w:p w:rsidR="00BE3893" w:rsidRDefault="00BE3893" w:rsidP="00BE3893">
      <w:pPr>
        <w:pStyle w:val="NormalWeb"/>
      </w:pPr>
      <w:r>
        <w:t>This project demonstrates a practical approach to classifying and visualizing satellite orbits using open-source tools and publicly available TLE data.</w:t>
      </w:r>
    </w:p>
    <w:p w:rsidR="00BE3893" w:rsidRDefault="00BE3893" w:rsidP="00BE3893">
      <w:pPr>
        <w:pStyle w:val="NormalWeb"/>
      </w:pPr>
      <w:r>
        <w:t>By providing an interactive 3D visualization along with automated classification of orbit types and risk zones, the tool enhances understanding of satellite distributions and supports greater public engagement with space data.</w:t>
      </w:r>
    </w:p>
    <w:p w:rsidR="00BE3893" w:rsidRDefault="00BE3893" w:rsidP="00BE3893">
      <w:pPr>
        <w:pStyle w:val="NormalWeb"/>
      </w:pPr>
      <w:r>
        <w:t>Such tools can be extended further to include real-time updates, collision risk assessment, or visualization of satellite constellations.</w:t>
      </w:r>
    </w:p>
    <w:p w:rsidR="007D5B15" w:rsidRDefault="007D5B15" w:rsidP="007D5B15">
      <w:pPr>
        <w:pStyle w:val="Heading1"/>
        <w:shd w:val="clear" w:color="auto" w:fill="FFFFFF"/>
        <w:spacing w:before="120" w:after="120"/>
        <w:rPr>
          <w:rFonts w:ascii="Arial" w:hAnsi="Arial" w:cs="Arial"/>
          <w:color w:val="1F1F1F"/>
          <w:sz w:val="39"/>
          <w:szCs w:val="39"/>
        </w:rPr>
      </w:pPr>
      <w:r>
        <w:rPr>
          <w:rFonts w:ascii="Arial" w:hAnsi="Arial" w:cs="Arial"/>
          <w:b/>
          <w:bCs/>
          <w:color w:val="1F1F1F"/>
          <w:sz w:val="39"/>
          <w:szCs w:val="39"/>
        </w:rPr>
        <w:t>Visualization</w:t>
      </w:r>
      <w:r>
        <w:rPr>
          <w:rFonts w:ascii="Arial" w:hAnsi="Arial" w:cs="Arial"/>
          <w:b/>
          <w:bCs/>
          <w:color w:val="1F1F1F"/>
          <w:sz w:val="39"/>
          <w:szCs w:val="39"/>
        </w:rPr>
        <w:t xml:space="preserve"> Tool</w:t>
      </w:r>
    </w:p>
    <w:p w:rsidR="00BE3893" w:rsidRDefault="007D5B15" w:rsidP="007D5B15">
      <w:r>
        <w:t xml:space="preserve"> </w:t>
      </w:r>
      <w:r w:rsidR="00BE3893">
        <w:t xml:space="preserve">The full project code and visualization tool are publicly available as a Google </w:t>
      </w:r>
      <w:proofErr w:type="spellStart"/>
      <w:r w:rsidR="00BE3893">
        <w:t>Colab</w:t>
      </w:r>
      <w:proofErr w:type="spellEnd"/>
      <w:r w:rsidR="00BE3893">
        <w:t xml:space="preserve"> notebook at:</w:t>
      </w:r>
      <w:r w:rsidR="00BE3893" w:rsidRPr="00BE3893">
        <w:t xml:space="preserve"> </w:t>
      </w:r>
      <w:hyperlink r:id="rId9" w:history="1">
        <w:r w:rsidR="00BE3893" w:rsidRPr="007D5B15">
          <w:rPr>
            <w:rStyle w:val="Hyperlink"/>
          </w:rPr>
          <w:t>https://colab.research.google.com/drive/1hwxmSmHoTvSP2ETFpvqwAS0gj5H</w:t>
        </w:r>
        <w:r w:rsidR="00BE3893" w:rsidRPr="007D5B15">
          <w:rPr>
            <w:rStyle w:val="Hyperlink"/>
          </w:rPr>
          <w:t>N</w:t>
        </w:r>
        <w:r w:rsidR="00BE3893" w:rsidRPr="007D5B15">
          <w:rPr>
            <w:rStyle w:val="Hyperlink"/>
          </w:rPr>
          <w:t>hksH?usp=sharing</w:t>
        </w:r>
      </w:hyperlink>
      <w:r w:rsidR="00BE3893">
        <w:t xml:space="preserve"> provided under the MIT License.</w:t>
      </w:r>
    </w:p>
    <w:p w:rsidR="007D5B15" w:rsidRDefault="007D5B15" w:rsidP="007D5B15"/>
    <w:p w:rsidR="007D5B15" w:rsidRDefault="007D5B15" w:rsidP="007D5B15">
      <w:pPr>
        <w:pStyle w:val="Heading1"/>
        <w:shd w:val="clear" w:color="auto" w:fill="FFFFFF"/>
        <w:spacing w:before="120" w:after="120"/>
        <w:rPr>
          <w:rFonts w:ascii="Arial" w:hAnsi="Arial" w:cs="Arial"/>
          <w:b/>
          <w:bCs/>
          <w:color w:val="1F1F1F"/>
          <w:sz w:val="39"/>
          <w:szCs w:val="39"/>
        </w:rPr>
      </w:pPr>
      <w:r>
        <w:rPr>
          <w:rFonts w:ascii="Arial" w:hAnsi="Arial" w:cs="Arial"/>
          <w:b/>
          <w:bCs/>
          <w:color w:val="1F1F1F"/>
          <w:sz w:val="39"/>
          <w:szCs w:val="39"/>
        </w:rPr>
        <w:lastRenderedPageBreak/>
        <w:t> Classification</w:t>
      </w:r>
      <w:r>
        <w:rPr>
          <w:rFonts w:ascii="Arial" w:hAnsi="Arial" w:cs="Arial"/>
          <w:b/>
          <w:bCs/>
          <w:color w:val="1F1F1F"/>
          <w:sz w:val="39"/>
          <w:szCs w:val="39"/>
        </w:rPr>
        <w:t xml:space="preserve"> Tool</w:t>
      </w:r>
    </w:p>
    <w:p w:rsidR="007D5B15" w:rsidRPr="007D5B15" w:rsidRDefault="007D5B15" w:rsidP="007D5B15">
      <w:hyperlink r:id="rId10" w:history="1">
        <w:r w:rsidRPr="007D5B15">
          <w:rPr>
            <w:rStyle w:val="Hyperlink"/>
          </w:rPr>
          <w:t>https://colab.research.google.com/drive/1fgkDKaTOB5PjZWVFaqB4sb7VQZCbbBC1?usp=s</w:t>
        </w:r>
        <w:r w:rsidRPr="007D5B15">
          <w:rPr>
            <w:rStyle w:val="Hyperlink"/>
          </w:rPr>
          <w:t>h</w:t>
        </w:r>
        <w:r w:rsidRPr="007D5B15">
          <w:rPr>
            <w:rStyle w:val="Hyperlink"/>
          </w:rPr>
          <w:t>aring</w:t>
        </w:r>
      </w:hyperlink>
    </w:p>
    <w:p w:rsidR="007D5B15" w:rsidRDefault="007D5B15" w:rsidP="007E607D"/>
    <w:p w:rsidR="004475CD" w:rsidRDefault="004475CD" w:rsidP="004475CD">
      <w:pPr>
        <w:pStyle w:val="Heading3"/>
      </w:pPr>
      <w:r>
        <w:t>Acknowledgments</w:t>
      </w:r>
    </w:p>
    <w:p w:rsidR="004475CD" w:rsidRDefault="004475CD" w:rsidP="004475CD">
      <w:pPr>
        <w:pStyle w:val="NormalWeb"/>
      </w:pPr>
      <w:r>
        <w:t xml:space="preserve">The author would like to acknowledge the use of open-source tools and data sources that made this project possible. The satellite orbital data used in this work was obtained from the </w:t>
      </w:r>
      <w:proofErr w:type="spellStart"/>
      <w:r>
        <w:t>CelesTrak</w:t>
      </w:r>
      <w:proofErr w:type="spellEnd"/>
      <w:r>
        <w:t xml:space="preserve"> database. The visualization and classification tools were implemented using the </w:t>
      </w:r>
      <w:proofErr w:type="spellStart"/>
      <w:r>
        <w:t>Skyfield</w:t>
      </w:r>
      <w:proofErr w:type="spellEnd"/>
      <w:r>
        <w:t xml:space="preserve"> library (by Brandon Rhodes), </w:t>
      </w:r>
      <w:proofErr w:type="spellStart"/>
      <w:r>
        <w:t>Matplotlib</w:t>
      </w:r>
      <w:proofErr w:type="spellEnd"/>
      <w:r>
        <w:t xml:space="preserve">, and </w:t>
      </w:r>
      <w:proofErr w:type="spellStart"/>
      <w:r>
        <w:t>Plotly</w:t>
      </w:r>
      <w:proofErr w:type="spellEnd"/>
      <w:r>
        <w:t xml:space="preserve"> in Python. The project was developed using Google </w:t>
      </w:r>
      <w:proofErr w:type="spellStart"/>
      <w:r>
        <w:t>Colab</w:t>
      </w:r>
      <w:proofErr w:type="spellEnd"/>
      <w:r>
        <w:t xml:space="preserve"> for ease of sharing and reproducibility. This work is intended for educational and research purposes.</w:t>
      </w:r>
    </w:p>
    <w:p w:rsidR="004475CD" w:rsidRDefault="004475CD" w:rsidP="004475CD">
      <w:pPr>
        <w:pStyle w:val="NormalWeb"/>
      </w:pPr>
      <w:r>
        <w:t xml:space="preserve">Additionally, I would like to acknowledge the assistance of AI tools such as </w:t>
      </w:r>
      <w:proofErr w:type="spellStart"/>
      <w:r>
        <w:t>ChatGPT</w:t>
      </w:r>
      <w:proofErr w:type="spellEnd"/>
      <w:r>
        <w:t xml:space="preserve"> in helping to develop and refine the code and explanations used in this project.</w:t>
      </w:r>
    </w:p>
    <w:p w:rsidR="007D5B15" w:rsidRPr="007E607D" w:rsidRDefault="007D5B15" w:rsidP="007E607D"/>
    <w:sectPr w:rsidR="007D5B15" w:rsidRPr="007E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1B4D"/>
    <w:multiLevelType w:val="multilevel"/>
    <w:tmpl w:val="FFB6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3106"/>
    <w:multiLevelType w:val="multilevel"/>
    <w:tmpl w:val="D72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F1270"/>
    <w:multiLevelType w:val="multilevel"/>
    <w:tmpl w:val="0406B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417EE"/>
    <w:multiLevelType w:val="multilevel"/>
    <w:tmpl w:val="7C1C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5E"/>
    <w:rsid w:val="000D41EB"/>
    <w:rsid w:val="000D4447"/>
    <w:rsid w:val="00220EED"/>
    <w:rsid w:val="002A52C7"/>
    <w:rsid w:val="002C7DD4"/>
    <w:rsid w:val="004475CD"/>
    <w:rsid w:val="00504A5E"/>
    <w:rsid w:val="007D390D"/>
    <w:rsid w:val="007D5B15"/>
    <w:rsid w:val="007E607D"/>
    <w:rsid w:val="009C5762"/>
    <w:rsid w:val="00BE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E842"/>
  <w15:chartTrackingRefBased/>
  <w15:docId w15:val="{58BD942E-1E56-49C8-B8E4-09529251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4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7D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5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4A5E"/>
    <w:rPr>
      <w:b/>
      <w:bCs/>
    </w:rPr>
  </w:style>
  <w:style w:type="character" w:customStyle="1" w:styleId="Heading2Char">
    <w:name w:val="Heading 2 Char"/>
    <w:basedOn w:val="DefaultParagraphFont"/>
    <w:link w:val="Heading2"/>
    <w:uiPriority w:val="9"/>
    <w:rsid w:val="00504A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4A5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4A5E"/>
    <w:pPr>
      <w:spacing w:after="0" w:line="240" w:lineRule="auto"/>
    </w:pPr>
  </w:style>
  <w:style w:type="paragraph" w:styleId="IntenseQuote">
    <w:name w:val="Intense Quote"/>
    <w:basedOn w:val="Normal"/>
    <w:next w:val="Normal"/>
    <w:link w:val="IntenseQuoteChar"/>
    <w:uiPriority w:val="30"/>
    <w:qFormat/>
    <w:rsid w:val="00504A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4A5E"/>
    <w:rPr>
      <w:i/>
      <w:iCs/>
      <w:color w:val="5B9BD5" w:themeColor="accent1"/>
    </w:rPr>
  </w:style>
  <w:style w:type="paragraph" w:styleId="NormalWeb">
    <w:name w:val="Normal (Web)"/>
    <w:basedOn w:val="Normal"/>
    <w:uiPriority w:val="99"/>
    <w:semiHidden/>
    <w:unhideWhenUsed/>
    <w:rsid w:val="00504A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4A5E"/>
    <w:rPr>
      <w:i/>
      <w:iCs/>
    </w:rPr>
  </w:style>
  <w:style w:type="character" w:customStyle="1" w:styleId="Heading3Char">
    <w:name w:val="Heading 3 Char"/>
    <w:basedOn w:val="DefaultParagraphFont"/>
    <w:link w:val="Heading3"/>
    <w:uiPriority w:val="9"/>
    <w:rsid w:val="00504A5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04A5E"/>
    <w:rPr>
      <w:color w:val="0000FF"/>
      <w:u w:val="single"/>
    </w:rPr>
  </w:style>
  <w:style w:type="character" w:styleId="HTMLCode">
    <w:name w:val="HTML Code"/>
    <w:basedOn w:val="DefaultParagraphFont"/>
    <w:uiPriority w:val="99"/>
    <w:semiHidden/>
    <w:unhideWhenUsed/>
    <w:rsid w:val="00504A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7DD4"/>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7D5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6140">
      <w:bodyDiv w:val="1"/>
      <w:marLeft w:val="0"/>
      <w:marRight w:val="0"/>
      <w:marTop w:val="0"/>
      <w:marBottom w:val="0"/>
      <w:divBdr>
        <w:top w:val="none" w:sz="0" w:space="0" w:color="auto"/>
        <w:left w:val="none" w:sz="0" w:space="0" w:color="auto"/>
        <w:bottom w:val="none" w:sz="0" w:space="0" w:color="auto"/>
        <w:right w:val="none" w:sz="0" w:space="0" w:color="auto"/>
      </w:divBdr>
    </w:div>
    <w:div w:id="351031861">
      <w:bodyDiv w:val="1"/>
      <w:marLeft w:val="0"/>
      <w:marRight w:val="0"/>
      <w:marTop w:val="0"/>
      <w:marBottom w:val="0"/>
      <w:divBdr>
        <w:top w:val="none" w:sz="0" w:space="0" w:color="auto"/>
        <w:left w:val="none" w:sz="0" w:space="0" w:color="auto"/>
        <w:bottom w:val="none" w:sz="0" w:space="0" w:color="auto"/>
        <w:right w:val="none" w:sz="0" w:space="0" w:color="auto"/>
      </w:divBdr>
    </w:div>
    <w:div w:id="630401101">
      <w:bodyDiv w:val="1"/>
      <w:marLeft w:val="0"/>
      <w:marRight w:val="0"/>
      <w:marTop w:val="0"/>
      <w:marBottom w:val="0"/>
      <w:divBdr>
        <w:top w:val="none" w:sz="0" w:space="0" w:color="auto"/>
        <w:left w:val="none" w:sz="0" w:space="0" w:color="auto"/>
        <w:bottom w:val="none" w:sz="0" w:space="0" w:color="auto"/>
        <w:right w:val="none" w:sz="0" w:space="0" w:color="auto"/>
      </w:divBdr>
    </w:div>
    <w:div w:id="722097059">
      <w:bodyDiv w:val="1"/>
      <w:marLeft w:val="0"/>
      <w:marRight w:val="0"/>
      <w:marTop w:val="0"/>
      <w:marBottom w:val="0"/>
      <w:divBdr>
        <w:top w:val="none" w:sz="0" w:space="0" w:color="auto"/>
        <w:left w:val="none" w:sz="0" w:space="0" w:color="auto"/>
        <w:bottom w:val="none" w:sz="0" w:space="0" w:color="auto"/>
        <w:right w:val="none" w:sz="0" w:space="0" w:color="auto"/>
      </w:divBdr>
    </w:div>
    <w:div w:id="1077558915">
      <w:bodyDiv w:val="1"/>
      <w:marLeft w:val="0"/>
      <w:marRight w:val="0"/>
      <w:marTop w:val="0"/>
      <w:marBottom w:val="0"/>
      <w:divBdr>
        <w:top w:val="none" w:sz="0" w:space="0" w:color="auto"/>
        <w:left w:val="none" w:sz="0" w:space="0" w:color="auto"/>
        <w:bottom w:val="none" w:sz="0" w:space="0" w:color="auto"/>
        <w:right w:val="none" w:sz="0" w:space="0" w:color="auto"/>
      </w:divBdr>
    </w:div>
    <w:div w:id="1246183485">
      <w:bodyDiv w:val="1"/>
      <w:marLeft w:val="0"/>
      <w:marRight w:val="0"/>
      <w:marTop w:val="0"/>
      <w:marBottom w:val="0"/>
      <w:divBdr>
        <w:top w:val="none" w:sz="0" w:space="0" w:color="auto"/>
        <w:left w:val="none" w:sz="0" w:space="0" w:color="auto"/>
        <w:bottom w:val="none" w:sz="0" w:space="0" w:color="auto"/>
        <w:right w:val="none" w:sz="0" w:space="0" w:color="auto"/>
      </w:divBdr>
      <w:divsChild>
        <w:div w:id="1009791307">
          <w:marLeft w:val="0"/>
          <w:marRight w:val="0"/>
          <w:marTop w:val="0"/>
          <w:marBottom w:val="0"/>
          <w:divBdr>
            <w:top w:val="none" w:sz="0" w:space="0" w:color="auto"/>
            <w:left w:val="none" w:sz="0" w:space="0" w:color="auto"/>
            <w:bottom w:val="none" w:sz="0" w:space="0" w:color="auto"/>
            <w:right w:val="none" w:sz="0" w:space="0" w:color="auto"/>
          </w:divBdr>
          <w:divsChild>
            <w:div w:id="1537159516">
              <w:marLeft w:val="0"/>
              <w:marRight w:val="0"/>
              <w:marTop w:val="0"/>
              <w:marBottom w:val="0"/>
              <w:divBdr>
                <w:top w:val="none" w:sz="0" w:space="0" w:color="auto"/>
                <w:left w:val="none" w:sz="0" w:space="0" w:color="auto"/>
                <w:bottom w:val="none" w:sz="0" w:space="0" w:color="auto"/>
                <w:right w:val="none" w:sz="0" w:space="0" w:color="auto"/>
              </w:divBdr>
            </w:div>
          </w:divsChild>
        </w:div>
        <w:div w:id="1712613141">
          <w:marLeft w:val="0"/>
          <w:marRight w:val="0"/>
          <w:marTop w:val="0"/>
          <w:marBottom w:val="0"/>
          <w:divBdr>
            <w:top w:val="none" w:sz="0" w:space="0" w:color="auto"/>
            <w:left w:val="none" w:sz="0" w:space="0" w:color="auto"/>
            <w:bottom w:val="none" w:sz="0" w:space="0" w:color="auto"/>
            <w:right w:val="none" w:sz="0" w:space="0" w:color="auto"/>
          </w:divBdr>
          <w:divsChild>
            <w:div w:id="13971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9731">
      <w:bodyDiv w:val="1"/>
      <w:marLeft w:val="0"/>
      <w:marRight w:val="0"/>
      <w:marTop w:val="0"/>
      <w:marBottom w:val="0"/>
      <w:divBdr>
        <w:top w:val="none" w:sz="0" w:space="0" w:color="auto"/>
        <w:left w:val="none" w:sz="0" w:space="0" w:color="auto"/>
        <w:bottom w:val="none" w:sz="0" w:space="0" w:color="auto"/>
        <w:right w:val="none" w:sz="0" w:space="0" w:color="auto"/>
      </w:divBdr>
    </w:div>
    <w:div w:id="1336303704">
      <w:bodyDiv w:val="1"/>
      <w:marLeft w:val="0"/>
      <w:marRight w:val="0"/>
      <w:marTop w:val="0"/>
      <w:marBottom w:val="0"/>
      <w:divBdr>
        <w:top w:val="none" w:sz="0" w:space="0" w:color="auto"/>
        <w:left w:val="none" w:sz="0" w:space="0" w:color="auto"/>
        <w:bottom w:val="none" w:sz="0" w:space="0" w:color="auto"/>
        <w:right w:val="none" w:sz="0" w:space="0" w:color="auto"/>
      </w:divBdr>
    </w:div>
    <w:div w:id="2020160248">
      <w:bodyDiv w:val="1"/>
      <w:marLeft w:val="0"/>
      <w:marRight w:val="0"/>
      <w:marTop w:val="0"/>
      <w:marBottom w:val="0"/>
      <w:divBdr>
        <w:top w:val="none" w:sz="0" w:space="0" w:color="auto"/>
        <w:left w:val="none" w:sz="0" w:space="0" w:color="auto"/>
        <w:bottom w:val="none" w:sz="0" w:space="0" w:color="auto"/>
        <w:right w:val="none" w:sz="0" w:space="0" w:color="auto"/>
      </w:divBdr>
    </w:div>
    <w:div w:id="2031368844">
      <w:bodyDiv w:val="1"/>
      <w:marLeft w:val="0"/>
      <w:marRight w:val="0"/>
      <w:marTop w:val="0"/>
      <w:marBottom w:val="0"/>
      <w:divBdr>
        <w:top w:val="none" w:sz="0" w:space="0" w:color="auto"/>
        <w:left w:val="none" w:sz="0" w:space="0" w:color="auto"/>
        <w:bottom w:val="none" w:sz="0" w:space="0" w:color="auto"/>
        <w:right w:val="none" w:sz="0" w:space="0" w:color="auto"/>
      </w:divBdr>
    </w:div>
    <w:div w:id="2086878228">
      <w:bodyDiv w:val="1"/>
      <w:marLeft w:val="0"/>
      <w:marRight w:val="0"/>
      <w:marTop w:val="0"/>
      <w:marBottom w:val="0"/>
      <w:divBdr>
        <w:top w:val="none" w:sz="0" w:space="0" w:color="auto"/>
        <w:left w:val="none" w:sz="0" w:space="0" w:color="auto"/>
        <w:bottom w:val="none" w:sz="0" w:space="0" w:color="auto"/>
        <w:right w:val="none" w:sz="0" w:space="0" w:color="auto"/>
      </w:divBdr>
    </w:div>
    <w:div w:id="21145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elestrak.org" TargetMode="External"/><Relationship Id="rId10" Type="http://schemas.openxmlformats.org/officeDocument/2006/relationships/hyperlink" Target="https://colab.research.google.com/drive/1fgkDKaTOB5PjZWVFaqB4sb7VQZCbbBC1?usp=sharing" TargetMode="External"/><Relationship Id="rId4" Type="http://schemas.openxmlformats.org/officeDocument/2006/relationships/webSettings" Target="webSettings.xml"/><Relationship Id="rId9" Type="http://schemas.openxmlformats.org/officeDocument/2006/relationships/hyperlink" Target="https://colab.research.google.com/drive/1hwxmSmHoTvSP2ETFpvqwAS0gj5HNhksH?usp=sharin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2025-06-08T16:51:00Z</dcterms:created>
  <dcterms:modified xsi:type="dcterms:W3CDTF">2025-06-09T23:52:00Z</dcterms:modified>
</cp:coreProperties>
</file>