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COMMON  /  TEAM WORKSPACE  /  1</w:t>
      </w:r>
    </w:p>
    <w:p>
      <w:pPr>
        <w:pStyle w:val="Heading1"/>
      </w:pPr>
      <w:r>
        <w:t>Common build workspace</w:t>
      </w:r>
    </w:p>
    <w:p>
      <w:pPr>
        <w:pStyle w:val="Title"/>
      </w:pPr>
      <w:r>
        <w:t>Common ETHOnline 2026 Build Plan</w:t>
      </w:r>
    </w:p>
    <w:p>
      <w:pPr>
        <w:pStyle w:val="Subtitle"/>
      </w:pPr>
      <w:r>
        <w:t>Shared spending memory for AI agents</w:t>
      </w:r>
    </w:p>
    <w:p>
      <w:r>
        <w:t>Build a working system where independent agents share a budget, reuse paid results, and learn from earlier spending outcomes. This workspace gives Aditya, Kavish, and the project lead clear ownership, development interfaces, and phase gates so each person can progress independently.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632"/>
      </w:tblGrid>
      <w:tr>
        <w:trPr>
          <w:cantSplit/>
          <w:tblHeader/>
        </w:trPr>
        <w:tc>
          <w:tcPr>
            <w:tcW w:type="dxa" w:w="2232"/>
            <w:vAlign w:val="center"/>
            <w:shd w:fill="EAEAEA"/>
            <w:tcMar>
              <w:top w:w="85" w:type="dxa"/>
              <w:left w:w="85" w:type="dxa"/>
              <w:bottom w:w="85" w:type="dxa"/>
              <w:right w:w="85" w:type="dxa"/>
            </w:tcMar>
          </w:tcPr>
          <w:p>
            <w:pPr>
              <w:spacing w:after="60" w:before="60"/>
            </w:pPr>
            <w:r>
              <w:rPr>
                <w:b/>
                <w:sz w:val="18"/>
              </w:rPr>
              <w:t>Property</w:t>
            </w:r>
          </w:p>
        </w:tc>
        <w:tc>
          <w:tcPr>
            <w:tcW w:type="dxa" w:w="7632"/>
            <w:vAlign w:val="center"/>
            <w:shd w:fill="EAEAEA"/>
            <w:tcMar>
              <w:top w:w="85" w:type="dxa"/>
              <w:left w:w="85" w:type="dxa"/>
              <w:bottom w:w="85" w:type="dxa"/>
              <w:right w:w="85" w:type="dxa"/>
            </w:tcMar>
          </w:tcPr>
          <w:p>
            <w:pPr>
              <w:spacing w:after="60" w:before="60"/>
            </w:pPr>
            <w:r>
              <w:rPr>
                <w:b/>
                <w:sz w:val="18"/>
              </w:rPr>
              <w:t>Plan</w:t>
            </w:r>
          </w:p>
        </w:tc>
      </w:tr>
      <w:tr>
        <w:trPr>
          <w:cantSplit/>
        </w:trPr>
        <w:tc>
          <w:tcPr>
            <w:tcW w:type="dxa" w:w="2232"/>
            <w:vAlign w:val="center"/>
            <w:shd w:fill="FFFFFF"/>
            <w:tcMar>
              <w:top w:w="85" w:type="dxa"/>
              <w:left w:w="85" w:type="dxa"/>
              <w:bottom w:w="85" w:type="dxa"/>
              <w:right w:w="85" w:type="dxa"/>
            </w:tcMar>
          </w:tcPr>
          <w:p>
            <w:pPr>
              <w:spacing w:after="60" w:before="60"/>
            </w:pPr>
            <w:r>
              <w:rPr>
                <w:b w:val="0"/>
                <w:sz w:val="18"/>
              </w:rPr>
              <w:t>Project status</w:t>
            </w:r>
          </w:p>
        </w:tc>
        <w:tc>
          <w:tcPr>
            <w:tcW w:type="dxa" w:w="7632"/>
            <w:vAlign w:val="center"/>
            <w:shd w:fill="FFFFFF"/>
            <w:tcMar>
              <w:top w:w="85" w:type="dxa"/>
              <w:left w:w="85" w:type="dxa"/>
              <w:bottom w:w="85" w:type="dxa"/>
              <w:right w:w="85" w:type="dxa"/>
            </w:tcMar>
          </w:tcPr>
          <w:p>
            <w:pPr>
              <w:spacing w:after="60" w:before="60"/>
            </w:pPr>
            <w:r>
              <w:rPr>
                <w:b w:val="0"/>
                <w:sz w:val="18"/>
              </w:rPr>
              <w:t>Planning — task statuses below are not started</w:t>
            </w:r>
          </w:p>
        </w:tc>
      </w:tr>
      <w:tr>
        <w:trPr>
          <w:cantSplit/>
        </w:trPr>
        <w:tc>
          <w:tcPr>
            <w:tcW w:type="dxa" w:w="2232"/>
            <w:vAlign w:val="center"/>
            <w:shd w:fill="FFFFFF"/>
            <w:tcMar>
              <w:top w:w="85" w:type="dxa"/>
              <w:left w:w="85" w:type="dxa"/>
              <w:bottom w:w="85" w:type="dxa"/>
              <w:right w:w="85" w:type="dxa"/>
            </w:tcMar>
          </w:tcPr>
          <w:p>
            <w:pPr>
              <w:spacing w:after="60" w:before="60"/>
            </w:pPr>
            <w:r>
              <w:rPr>
                <w:b w:val="0"/>
                <w:sz w:val="18"/>
              </w:rPr>
              <w:t>Team</w:t>
            </w:r>
          </w:p>
        </w:tc>
        <w:tc>
          <w:tcPr>
            <w:tcW w:type="dxa" w:w="7632"/>
            <w:vAlign w:val="center"/>
            <w:shd w:fill="FFFFFF"/>
            <w:tcMar>
              <w:top w:w="85" w:type="dxa"/>
              <w:left w:w="85" w:type="dxa"/>
              <w:bottom w:w="85" w:type="dxa"/>
              <w:right w:w="85" w:type="dxa"/>
            </w:tcMar>
          </w:tcPr>
          <w:p>
            <w:pPr>
              <w:spacing w:after="60" w:before="60"/>
            </w:pPr>
            <w:r>
              <w:rPr>
                <w:b w:val="0"/>
                <w:sz w:val="18"/>
              </w:rPr>
              <w:t>Aditya · Kavish · Project lead</w:t>
            </w:r>
          </w:p>
        </w:tc>
      </w:tr>
      <w:tr>
        <w:trPr>
          <w:cantSplit/>
        </w:trPr>
        <w:tc>
          <w:tcPr>
            <w:tcW w:type="dxa" w:w="2232"/>
            <w:vAlign w:val="center"/>
            <w:shd w:fill="FFFFFF"/>
            <w:tcMar>
              <w:top w:w="85" w:type="dxa"/>
              <w:left w:w="85" w:type="dxa"/>
              <w:bottom w:w="85" w:type="dxa"/>
              <w:right w:w="85" w:type="dxa"/>
            </w:tcMar>
          </w:tcPr>
          <w:p>
            <w:pPr>
              <w:spacing w:after="60" w:before="60"/>
            </w:pPr>
            <w:r>
              <w:rPr>
                <w:b w:val="0"/>
                <w:sz w:val="18"/>
              </w:rPr>
              <w:t>Build window</w:t>
            </w:r>
          </w:p>
        </w:tc>
        <w:tc>
          <w:tcPr>
            <w:tcW w:type="dxa" w:w="7632"/>
            <w:vAlign w:val="center"/>
            <w:shd w:fill="FFFFFF"/>
            <w:tcMar>
              <w:top w:w="85" w:type="dxa"/>
              <w:left w:w="85" w:type="dxa"/>
              <w:bottom w:w="85" w:type="dxa"/>
              <w:right w:w="85" w:type="dxa"/>
            </w:tcMar>
          </w:tcPr>
          <w:p>
            <w:pPr>
              <w:spacing w:after="60" w:before="60"/>
            </w:pPr>
            <w:r>
              <w:rPr>
                <w:b w:val="0"/>
                <w:sz w:val="18"/>
              </w:rPr>
              <w:t>10 working days; map relative days to your actual deadline</w:t>
            </w:r>
          </w:p>
        </w:tc>
      </w:tr>
      <w:tr>
        <w:trPr>
          <w:cantSplit/>
        </w:trPr>
        <w:tc>
          <w:tcPr>
            <w:tcW w:type="dxa" w:w="2232"/>
            <w:vAlign w:val="center"/>
            <w:shd w:fill="FFFFFF"/>
            <w:tcMar>
              <w:top w:w="85" w:type="dxa"/>
              <w:left w:w="85" w:type="dxa"/>
              <w:bottom w:w="85" w:type="dxa"/>
              <w:right w:w="85" w:type="dxa"/>
            </w:tcMar>
          </w:tcPr>
          <w:p>
            <w:pPr>
              <w:spacing w:after="60" w:before="60"/>
            </w:pPr>
            <w:r>
              <w:rPr>
                <w:b w:val="0"/>
                <w:sz w:val="18"/>
              </w:rPr>
              <w:t>Primary demo</w:t>
            </w:r>
          </w:p>
        </w:tc>
        <w:tc>
          <w:tcPr>
            <w:tcW w:type="dxa" w:w="7632"/>
            <w:vAlign w:val="center"/>
            <w:shd w:fill="FFFFFF"/>
            <w:tcMar>
              <w:top w:w="85" w:type="dxa"/>
              <w:left w:w="85" w:type="dxa"/>
              <w:bottom w:w="85" w:type="dxa"/>
              <w:right w:w="85" w:type="dxa"/>
            </w:tcMar>
          </w:tcPr>
          <w:p>
            <w:pPr>
              <w:spacing w:after="60" w:before="60"/>
            </w:pPr>
            <w:r>
              <w:rPr>
                <w:b w:val="0"/>
                <w:sz w:val="18"/>
              </w:rPr>
              <w:t>Two agents, one purchase, two completed deliverables</w:t>
            </w:r>
          </w:p>
        </w:tc>
      </w:tr>
      <w:tr>
        <w:trPr>
          <w:cantSplit/>
        </w:trPr>
        <w:tc>
          <w:tcPr>
            <w:tcW w:type="dxa" w:w="2232"/>
            <w:vAlign w:val="center"/>
            <w:shd w:fill="FFFFFF"/>
            <w:tcMar>
              <w:top w:w="85" w:type="dxa"/>
              <w:left w:w="85" w:type="dxa"/>
              <w:bottom w:w="85" w:type="dxa"/>
              <w:right w:w="85" w:type="dxa"/>
            </w:tcMar>
          </w:tcPr>
          <w:p>
            <w:pPr>
              <w:spacing w:after="60" w:before="60"/>
            </w:pPr>
            <w:r>
              <w:rPr>
                <w:b w:val="0"/>
                <w:sz w:val="18"/>
              </w:rPr>
              <w:t>Primary sponsor focus</w:t>
            </w:r>
          </w:p>
        </w:tc>
        <w:tc>
          <w:tcPr>
            <w:tcW w:type="dxa" w:w="7632"/>
            <w:vAlign w:val="center"/>
            <w:shd w:fill="FFFFFF"/>
            <w:tcMar>
              <w:top w:w="85" w:type="dxa"/>
              <w:left w:w="85" w:type="dxa"/>
              <w:bottom w:w="85" w:type="dxa"/>
              <w:right w:w="85" w:type="dxa"/>
            </w:tcMar>
          </w:tcPr>
          <w:p>
            <w:pPr>
              <w:spacing w:after="60" w:before="60"/>
            </w:pPr>
            <w:r>
              <w:rPr>
                <w:b w:val="0"/>
                <w:sz w:val="18"/>
              </w:rPr>
              <w:t>Hedera agentic payments; meaningful live Graph data use</w:t>
            </w:r>
          </w:p>
        </w:tc>
      </w:tr>
      <w:tr>
        <w:trPr>
          <w:cantSplit/>
        </w:trPr>
        <w:tc>
          <w:tcPr>
            <w:tcW w:type="dxa" w:w="2232"/>
            <w:vAlign w:val="center"/>
            <w:shd w:fill="FFFFFF"/>
            <w:tcMar>
              <w:top w:w="85" w:type="dxa"/>
              <w:left w:w="85" w:type="dxa"/>
              <w:bottom w:w="85" w:type="dxa"/>
              <w:right w:w="85" w:type="dxa"/>
            </w:tcMar>
          </w:tcPr>
          <w:p>
            <w:pPr>
              <w:spacing w:after="60" w:before="60"/>
            </w:pPr>
            <w:r>
              <w:rPr>
                <w:b w:val="0"/>
                <w:sz w:val="18"/>
              </w:rPr>
              <w:t>Working rule</w:t>
            </w:r>
          </w:p>
        </w:tc>
        <w:tc>
          <w:tcPr>
            <w:tcW w:type="dxa" w:w="7632"/>
            <w:vAlign w:val="center"/>
            <w:shd w:fill="FFFFFF"/>
            <w:tcMar>
              <w:top w:w="85" w:type="dxa"/>
              <w:left w:w="85" w:type="dxa"/>
              <w:bottom w:w="85" w:type="dxa"/>
              <w:right w:w="85" w:type="dxa"/>
            </w:tcMar>
          </w:tcPr>
          <w:p>
            <w:pPr>
              <w:spacing w:after="60" w:before="60"/>
            </w:pPr>
            <w:r>
              <w:rPr>
                <w:b w:val="0"/>
                <w:sz w:val="18"/>
              </w:rPr>
              <w:t>Agree interfaces first; ship mocks before connecting live services</w:t>
            </w:r>
          </w:p>
        </w:tc>
      </w:tr>
    </w:tbl>
    <w:p/>
    <w:p>
      <w:pPr>
        <w:pStyle w:val="Heading2"/>
      </w:pPr>
      <w:r>
        <w:t>Start here</w:t>
      </w:r>
    </w:p>
    <w:p>
      <w:r>
        <w:t>☐  Confirm the scope and ownership on page 2.</w:t>
      </w:r>
    </w:p>
    <w:p>
      <w:r>
        <w:t>☐  Complete interface agreement on page 3 before parallel implementation.</w:t>
      </w:r>
    </w:p>
    <w:p>
      <w:r>
        <w:t>☐  Prove controlled payment and live indexing paths by day 2.</w:t>
      </w:r>
    </w:p>
    <w:p>
      <w:r>
        <w:t>☐  Use pages 4–6 for phase execution and acceptance gates.</w:t>
      </w:r>
    </w:p>
    <w:p>
      <w:r>
        <w:t>☐  Track tasks and blockers on page 7; prepare the demo using page 8.</w:t>
      </w:r>
    </w:p>
    <w:p>
      <w:pPr>
        <w:pStyle w:val="Heading2"/>
      </w:pPr>
      <w:r>
        <w:t>Definition of success</w:t>
      </w:r>
    </w:p>
    <w:p>
      <w:r>
        <w:t>A real paid request runs through the enforced workspace budget. A second agent discovers the indexed purchase, retrieves an authorized usable result, and completes its task. The team can inspect the decision record, receipt, result, and measured spending. Recovery never blindly repeats a payment.</w:t>
      </w:r>
    </w:p>
    <w:p>
      <w:r>
        <w:br w:type="page"/>
      </w:r>
    </w:p>
    <w:p>
      <w:pPr>
        <w:pStyle w:val="Subtitle"/>
      </w:pPr>
      <w:r>
        <w:t>COMMON  /  TEAM WORKSPACE  /  2</w:t>
      </w:r>
    </w:p>
    <w:p>
      <w:pPr>
        <w:pStyle w:val="Heading1"/>
      </w:pPr>
      <w:r>
        <w:t>Scope and team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032"/>
        <w:gridCol w:w="4392"/>
      </w:tblGrid>
      <w:tr>
        <w:trPr>
          <w:cantSplit/>
          <w:tblHeader/>
        </w:trPr>
        <w:tc>
          <w:tcPr>
            <w:tcW w:type="dxa" w:w="1440"/>
            <w:vAlign w:val="center"/>
            <w:shd w:fill="EAEAEA"/>
            <w:tcMar>
              <w:top w:w="85" w:type="dxa"/>
              <w:left w:w="85" w:type="dxa"/>
              <w:bottom w:w="85" w:type="dxa"/>
              <w:right w:w="85" w:type="dxa"/>
            </w:tcMar>
          </w:tcPr>
          <w:p>
            <w:pPr>
              <w:spacing w:after="60" w:before="60"/>
            </w:pPr>
            <w:r>
              <w:rPr>
                <w:b/>
                <w:sz w:val="18"/>
              </w:rPr>
              <w:t>Owner</w:t>
            </w:r>
          </w:p>
        </w:tc>
        <w:tc>
          <w:tcPr>
            <w:tcW w:type="dxa" w:w="4032"/>
            <w:vAlign w:val="center"/>
            <w:shd w:fill="EAEAEA"/>
            <w:tcMar>
              <w:top w:w="85" w:type="dxa"/>
              <w:left w:w="85" w:type="dxa"/>
              <w:bottom w:w="85" w:type="dxa"/>
              <w:right w:w="85" w:type="dxa"/>
            </w:tcMar>
          </w:tcPr>
          <w:p>
            <w:pPr>
              <w:spacing w:after="60" w:before="60"/>
            </w:pPr>
            <w:r>
              <w:rPr>
                <w:b/>
                <w:sz w:val="18"/>
              </w:rPr>
              <w:t>Accountable for</w:t>
            </w:r>
          </w:p>
        </w:tc>
        <w:tc>
          <w:tcPr>
            <w:tcW w:type="dxa" w:w="4392"/>
            <w:vAlign w:val="center"/>
            <w:shd w:fill="EAEAEA"/>
            <w:tcMar>
              <w:top w:w="85" w:type="dxa"/>
              <w:left w:w="85" w:type="dxa"/>
              <w:bottom w:w="85" w:type="dxa"/>
              <w:right w:w="85" w:type="dxa"/>
            </w:tcMar>
          </w:tcPr>
          <w:p>
            <w:pPr>
              <w:spacing w:after="60" w:before="60"/>
            </w:pPr>
            <w:r>
              <w:rPr>
                <w:b/>
                <w:sz w:val="18"/>
              </w:rPr>
              <w:t>Owned paths</w:t>
            </w:r>
          </w:p>
        </w:tc>
      </w:tr>
      <w:tr>
        <w:trPr>
          <w:cantSplit/>
        </w:trPr>
        <w:tc>
          <w:tcPr>
            <w:tcW w:type="dxa" w:w="1440"/>
            <w:vAlign w:val="center"/>
            <w:shd w:fill="FFFFFF"/>
            <w:tcMar>
              <w:top w:w="85" w:type="dxa"/>
              <w:left w:w="85" w:type="dxa"/>
              <w:bottom w:w="85" w:type="dxa"/>
              <w:right w:w="85" w:type="dxa"/>
            </w:tcMar>
          </w:tcPr>
          <w:p>
            <w:pPr>
              <w:spacing w:after="60" w:before="60"/>
            </w:pPr>
            <w:r>
              <w:rPr>
                <w:b w:val="0"/>
                <w:sz w:val="18"/>
              </w:rPr>
              <w:t>Aditya</w:t>
            </w:r>
          </w:p>
        </w:tc>
        <w:tc>
          <w:tcPr>
            <w:tcW w:type="dxa" w:w="4032"/>
            <w:vAlign w:val="center"/>
            <w:shd w:fill="FFFFFF"/>
            <w:tcMar>
              <w:top w:w="85" w:type="dxa"/>
              <w:left w:w="85" w:type="dxa"/>
              <w:bottom w:w="85" w:type="dxa"/>
              <w:right w:w="85" w:type="dxa"/>
            </w:tcMar>
          </w:tcPr>
          <w:p>
            <w:pPr>
              <w:spacing w:after="60" w:before="60"/>
            </w:pPr>
            <w:r>
              <w:rPr>
                <w:b w:val="0"/>
                <w:sz w:val="18"/>
              </w:rPr>
              <w:t>Subgraph, event mappings, live queries, purchase discovery and analytics</w:t>
            </w:r>
          </w:p>
        </w:tc>
        <w:tc>
          <w:tcPr>
            <w:tcW w:type="dxa" w:w="4392"/>
            <w:vAlign w:val="center"/>
            <w:shd w:fill="FFFFFF"/>
            <w:tcMar>
              <w:top w:w="85" w:type="dxa"/>
              <w:left w:w="85" w:type="dxa"/>
              <w:bottom w:w="85" w:type="dxa"/>
              <w:right w:w="85" w:type="dxa"/>
            </w:tcMar>
          </w:tcPr>
          <w:p>
            <w:pPr>
              <w:spacing w:after="60" w:before="60"/>
            </w:pPr>
            <w:r>
              <w:rPr>
                <w:b w:val="0"/>
                <w:sz w:val="18"/>
              </w:rPr>
              <w:t>subgraph/</w:t>
              <w:br/>
              <w:t>packages/graph-client/</w:t>
              <w:br/>
              <w:t>docs/graph.md</w:t>
            </w:r>
          </w:p>
        </w:tc>
      </w:tr>
      <w:tr>
        <w:trPr>
          <w:cantSplit/>
        </w:trPr>
        <w:tc>
          <w:tcPr>
            <w:tcW w:type="dxa" w:w="1440"/>
            <w:vAlign w:val="center"/>
            <w:shd w:fill="FFFFFF"/>
            <w:tcMar>
              <w:top w:w="85" w:type="dxa"/>
              <w:left w:w="85" w:type="dxa"/>
              <w:bottom w:w="85" w:type="dxa"/>
              <w:right w:w="85" w:type="dxa"/>
            </w:tcMar>
          </w:tcPr>
          <w:p>
            <w:pPr>
              <w:spacing w:after="60" w:before="60"/>
            </w:pPr>
            <w:r>
              <w:rPr>
                <w:b w:val="0"/>
                <w:sz w:val="18"/>
              </w:rPr>
              <w:t>Kavish</w:t>
            </w:r>
          </w:p>
        </w:tc>
        <w:tc>
          <w:tcPr>
            <w:tcW w:type="dxa" w:w="4032"/>
            <w:vAlign w:val="center"/>
            <w:shd w:fill="FFFFFF"/>
            <w:tcMar>
              <w:top w:w="85" w:type="dxa"/>
              <w:left w:w="85" w:type="dxa"/>
              <w:bottom w:w="85" w:type="dxa"/>
              <w:right w:w="85" w:type="dxa"/>
            </w:tcMar>
          </w:tcPr>
          <w:p>
            <w:pPr>
              <w:spacing w:after="60" w:before="60"/>
            </w:pPr>
            <w:r>
              <w:rPr>
                <w:b w:val="0"/>
                <w:sz w:val="18"/>
              </w:rPr>
              <w:t>Reservation contract, controlled payments, x402 service, HCS and deployment</w:t>
            </w:r>
          </w:p>
        </w:tc>
        <w:tc>
          <w:tcPr>
            <w:tcW w:type="dxa" w:w="4392"/>
            <w:vAlign w:val="center"/>
            <w:shd w:fill="FFFFFF"/>
            <w:tcMar>
              <w:top w:w="85" w:type="dxa"/>
              <w:left w:w="85" w:type="dxa"/>
              <w:bottom w:w="85" w:type="dxa"/>
              <w:right w:w="85" w:type="dxa"/>
            </w:tcMar>
          </w:tcPr>
          <w:p>
            <w:pPr>
              <w:spacing w:after="60" w:before="60"/>
            </w:pPr>
            <w:r>
              <w:rPr>
                <w:b w:val="0"/>
                <w:sz w:val="18"/>
              </w:rPr>
              <w:t>contracts/</w:t>
              <w:br/>
              <w:t>packages/hedera-adapter/</w:t>
              <w:br/>
              <w:t>apps/paid-service/</w:t>
              <w:br/>
              <w:t>infra/</w:t>
            </w:r>
          </w:p>
        </w:tc>
      </w:tr>
      <w:tr>
        <w:trPr>
          <w:cantSplit/>
        </w:trPr>
        <w:tc>
          <w:tcPr>
            <w:tcW w:type="dxa" w:w="1440"/>
            <w:vAlign w:val="center"/>
            <w:shd w:fill="FFFFFF"/>
            <w:tcMar>
              <w:top w:w="85" w:type="dxa"/>
              <w:left w:w="85" w:type="dxa"/>
              <w:bottom w:w="85" w:type="dxa"/>
              <w:right w:w="85" w:type="dxa"/>
            </w:tcMar>
          </w:tcPr>
          <w:p>
            <w:pPr>
              <w:spacing w:after="60" w:before="60"/>
            </w:pPr>
            <w:r>
              <w:rPr>
                <w:b w:val="0"/>
                <w:sz w:val="18"/>
              </w:rPr>
              <w:t>Project lead</w:t>
            </w:r>
          </w:p>
        </w:tc>
        <w:tc>
          <w:tcPr>
            <w:tcW w:type="dxa" w:w="4032"/>
            <w:vAlign w:val="center"/>
            <w:shd w:fill="FFFFFF"/>
            <w:tcMar>
              <w:top w:w="85" w:type="dxa"/>
              <w:left w:w="85" w:type="dxa"/>
              <w:bottom w:w="85" w:type="dxa"/>
              <w:right w:w="85" w:type="dxa"/>
            </w:tcMar>
          </w:tcPr>
          <w:p>
            <w:pPr>
              <w:spacing w:after="60" w:before="60"/>
            </w:pPr>
            <w:r>
              <w:rPr>
                <w:b w:val="0"/>
                <w:sz w:val="18"/>
              </w:rPr>
              <w:t>Interfaces, agents, orchestration, storage, frontend, integration and submission</w:t>
            </w:r>
          </w:p>
        </w:tc>
        <w:tc>
          <w:tcPr>
            <w:tcW w:type="dxa" w:w="4392"/>
            <w:vAlign w:val="center"/>
            <w:shd w:fill="FFFFFF"/>
            <w:tcMar>
              <w:top w:w="85" w:type="dxa"/>
              <w:left w:w="85" w:type="dxa"/>
              <w:bottom w:w="85" w:type="dxa"/>
              <w:right w:w="85" w:type="dxa"/>
            </w:tcMar>
          </w:tcPr>
          <w:p>
            <w:pPr>
              <w:spacing w:after="60" w:before="60"/>
            </w:pPr>
            <w:r>
              <w:rPr>
                <w:b w:val="0"/>
                <w:sz w:val="18"/>
              </w:rPr>
              <w:t>packages/interfaces/</w:t>
              <w:br/>
              <w:t>packages/agent-tools/</w:t>
              <w:br/>
              <w:t>packages/result-store/</w:t>
              <w:br/>
              <w:t>apps/web/</w:t>
              <w:br/>
              <w:t>apps/orchestrator/</w:t>
            </w:r>
          </w:p>
        </w:tc>
      </w:tr>
    </w:tbl>
    <w:p/>
    <w:p>
      <w:pPr>
        <w:pStyle w:val="Heading2"/>
      </w:pPr>
      <w:r>
        <w:t>MVP checklist</w:t>
      </w:r>
    </w:p>
    <w:p>
      <w:r>
        <w:t>☐  Create and fund a workspace; authorize two agents.</w:t>
      </w:r>
    </w:p>
    <w:p>
      <w:r>
        <w:t>☐  Reserve one purchase atomically when agents compete.</w:t>
      </w:r>
    </w:p>
    <w:p>
      <w:r>
        <w:t>☐  Execute a real x402 payment through Blocky402.</w:t>
      </w:r>
    </w:p>
    <w:p>
      <w:r>
        <w:t>☐  Store the result with freshness and capability metadata.</w:t>
      </w:r>
    </w:p>
    <w:p>
      <w:r>
        <w:t>☐  Let the second agent discover and reuse the result through live Graph queries.</w:t>
      </w:r>
    </w:p>
    <w:p>
      <w:r>
        <w:t>☐  Write decision notes to HCS and link them to indexed events.</w:t>
      </w:r>
    </w:p>
    <w:p>
      <w:r>
        <w:t>☐  Show a later decision avoiding a known unsuitable result.</w:t>
      </w:r>
    </w:p>
    <w:p>
      <w:r>
        <w:t>☐  Demonstrate safe unpaid expiry and paid delivery failure.</w:t>
      </w:r>
    </w:p>
    <w:p>
      <w:pPr>
        <w:pStyle w:val="Heading2"/>
      </w:pPr>
      <w:r>
        <w:t>Keep outside the MVP</w:t>
      </w:r>
    </w:p>
    <w:p>
      <w:r>
        <w:t>Defer marketplaces, multiple payment networks, streaming payments, general semantic duplicate detection, reputation systems, and elaborate identity integrations. Add polish only after the complete real flow passes.</w:t>
      </w:r>
    </w:p>
    <w:p>
      <w:pPr>
        <w:pStyle w:val="Heading2"/>
      </w:pPr>
      <w:r>
        <w:t>Ownership rules</w:t>
      </w:r>
    </w:p>
    <w:p>
      <w:r>
        <w:t>Each component owner supplies its build command, tests, example configuration, and live adapter. Kavish owns deployment infrastructure; he does not own repairing every application. The lead resolves scope and interface conflicts; the person who owns a failing component fixes it.</w:t>
      </w:r>
    </w:p>
    <w:p>
      <w:r>
        <w:t>Shared files such as the root package manifest and interfaces have one merge owner: the project lead. Discuss changes with the relevant component owner before editing their paths.</w:t>
      </w:r>
    </w:p>
    <w:p>
      <w:r>
        <w:br w:type="page"/>
      </w:r>
    </w:p>
    <w:p>
      <w:pPr>
        <w:pStyle w:val="Subtitle"/>
      </w:pPr>
      <w:r>
        <w:t>COMMON  /  TEAM WORKSPACE  /  3</w:t>
      </w:r>
    </w:p>
    <w:p>
      <w:pPr>
        <w:pStyle w:val="Heading1"/>
      </w:pPr>
      <w:r>
        <w:t>Phase 0 agree the interfaces</w:t>
      </w:r>
    </w:p>
    <w:p>
      <w:pPr>
        <w:pStyle w:val="Subtitle"/>
      </w:pPr>
      <w:r>
        <w:t>WHEN  First half-day     OWNER  Project lead with both teammates</w:t>
      </w:r>
    </w:p>
    <w:p>
      <w:r>
        <w:t>Freeze the smallest shared contract that allows all three workstreams to compile and run independently. Aditya and Kavish review event and adapter definitions before implementation starts.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848"/>
      </w:tblGrid>
      <w:tr>
        <w:trPr>
          <w:cantSplit/>
          <w:tblHeader/>
        </w:trPr>
        <w:tc>
          <w:tcPr>
            <w:tcW w:type="dxa" w:w="2016"/>
            <w:vAlign w:val="center"/>
            <w:shd w:fill="EAEAEA"/>
            <w:tcMar>
              <w:top w:w="85" w:type="dxa"/>
              <w:left w:w="85" w:type="dxa"/>
              <w:bottom w:w="85" w:type="dxa"/>
              <w:right w:w="85" w:type="dxa"/>
            </w:tcMar>
          </w:tcPr>
          <w:p>
            <w:pPr>
              <w:spacing w:after="60" w:before="60"/>
            </w:pPr>
            <w:r>
              <w:rPr>
                <w:b/>
                <w:sz w:val="18"/>
              </w:rPr>
              <w:t>Agreement</w:t>
            </w:r>
          </w:p>
        </w:tc>
        <w:tc>
          <w:tcPr>
            <w:tcW w:type="dxa" w:w="7848"/>
            <w:vAlign w:val="center"/>
            <w:shd w:fill="EAEAEA"/>
            <w:tcMar>
              <w:top w:w="85" w:type="dxa"/>
              <w:left w:w="85" w:type="dxa"/>
              <w:bottom w:w="85" w:type="dxa"/>
              <w:right w:w="85" w:type="dxa"/>
            </w:tcMar>
          </w:tcPr>
          <w:p>
            <w:pPr>
              <w:spacing w:after="60" w:before="60"/>
            </w:pPr>
            <w:r>
              <w:rPr>
                <w:b/>
                <w:sz w:val="18"/>
              </w:rPr>
              <w:t>Required decision</w:t>
            </w:r>
          </w:p>
        </w:tc>
      </w:tr>
      <w:tr>
        <w:trPr>
          <w:cantSplit/>
        </w:trPr>
        <w:tc>
          <w:tcPr>
            <w:tcW w:type="dxa" w:w="2016"/>
            <w:vAlign w:val="center"/>
            <w:shd w:fill="FFFFFF"/>
            <w:tcMar>
              <w:top w:w="85" w:type="dxa"/>
              <w:left w:w="85" w:type="dxa"/>
              <w:bottom w:w="85" w:type="dxa"/>
              <w:right w:w="85" w:type="dxa"/>
            </w:tcMar>
          </w:tcPr>
          <w:p>
            <w:pPr>
              <w:spacing w:after="60" w:before="60"/>
            </w:pPr>
            <w:r>
              <w:rPr>
                <w:b w:val="0"/>
                <w:sz w:val="18"/>
              </w:rPr>
              <w:t>Identifiers</w:t>
            </w:r>
          </w:p>
        </w:tc>
        <w:tc>
          <w:tcPr>
            <w:tcW w:type="dxa" w:w="7848"/>
            <w:vAlign w:val="center"/>
            <w:shd w:fill="FFFFFF"/>
            <w:tcMar>
              <w:top w:w="85" w:type="dxa"/>
              <w:left w:w="85" w:type="dxa"/>
              <w:bottom w:w="85" w:type="dxa"/>
              <w:right w:w="85" w:type="dxa"/>
            </w:tcMar>
          </w:tcPr>
          <w:p>
            <w:pPr>
              <w:spacing w:after="60" w:before="60"/>
            </w:pPr>
            <w:r>
              <w:rPr>
                <w:b w:val="0"/>
                <w:sz w:val="18"/>
              </w:rPr>
              <w:t>workspaceId, operationId, purchaseKey and decisionId have stable formats.</w:t>
            </w:r>
          </w:p>
        </w:tc>
      </w:tr>
      <w:tr>
        <w:trPr>
          <w:cantSplit/>
        </w:trPr>
        <w:tc>
          <w:tcPr>
            <w:tcW w:type="dxa" w:w="2016"/>
            <w:vAlign w:val="center"/>
            <w:shd w:fill="FFFFFF"/>
            <w:tcMar>
              <w:top w:w="85" w:type="dxa"/>
              <w:left w:w="85" w:type="dxa"/>
              <w:bottom w:w="85" w:type="dxa"/>
              <w:right w:w="85" w:type="dxa"/>
            </w:tcMar>
          </w:tcPr>
          <w:p>
            <w:pPr>
              <w:spacing w:after="60" w:before="60"/>
            </w:pPr>
            <w:r>
              <w:rPr>
                <w:b w:val="0"/>
                <w:sz w:val="18"/>
              </w:rPr>
              <w:t>Money</w:t>
            </w:r>
          </w:p>
        </w:tc>
        <w:tc>
          <w:tcPr>
            <w:tcW w:type="dxa" w:w="7848"/>
            <w:vAlign w:val="center"/>
            <w:shd w:fill="FFFFFF"/>
            <w:tcMar>
              <w:top w:w="85" w:type="dxa"/>
              <w:left w:w="85" w:type="dxa"/>
              <w:bottom w:w="85" w:type="dxa"/>
              <w:right w:w="85" w:type="dxa"/>
            </w:tcMar>
          </w:tcPr>
          <w:p>
            <w:pPr>
              <w:spacing w:after="60" w:before="60"/>
            </w:pPr>
            <w:r>
              <w:rPr>
                <w:b w:val="0"/>
                <w:sz w:val="18"/>
              </w:rPr>
              <w:t>Integer token units serialized as strings; include token identity and decimals.</w:t>
            </w:r>
          </w:p>
        </w:tc>
      </w:tr>
      <w:tr>
        <w:trPr>
          <w:cantSplit/>
        </w:trPr>
        <w:tc>
          <w:tcPr>
            <w:tcW w:type="dxa" w:w="2016"/>
            <w:vAlign w:val="center"/>
            <w:shd w:fill="FFFFFF"/>
            <w:tcMar>
              <w:top w:w="85" w:type="dxa"/>
              <w:left w:w="85" w:type="dxa"/>
              <w:bottom w:w="85" w:type="dxa"/>
              <w:right w:w="85" w:type="dxa"/>
            </w:tcMar>
          </w:tcPr>
          <w:p>
            <w:pPr>
              <w:spacing w:after="60" w:before="60"/>
            </w:pPr>
            <w:r>
              <w:rPr>
                <w:b w:val="0"/>
                <w:sz w:val="18"/>
              </w:rPr>
              <w:t>Purchase key</w:t>
            </w:r>
          </w:p>
        </w:tc>
        <w:tc>
          <w:tcPr>
            <w:tcW w:type="dxa" w:w="7848"/>
            <w:vAlign w:val="center"/>
            <w:shd w:fill="FFFFFF"/>
            <w:tcMar>
              <w:top w:w="85" w:type="dxa"/>
              <w:left w:w="85" w:type="dxa"/>
              <w:bottom w:w="85" w:type="dxa"/>
              <w:right w:w="85" w:type="dxa"/>
            </w:tcMar>
          </w:tcPr>
          <w:p>
            <w:pPr>
              <w:spacing w:after="60" w:before="60"/>
            </w:pPr>
            <w:r>
              <w:rPr>
                <w:b w:val="0"/>
                <w:sz w:val="18"/>
              </w:rPr>
              <w:t>Provider, resource, normalized parameters, workspace and freshness bucket.</w:t>
            </w:r>
          </w:p>
        </w:tc>
      </w:tr>
      <w:tr>
        <w:trPr>
          <w:cantSplit/>
        </w:trPr>
        <w:tc>
          <w:tcPr>
            <w:tcW w:type="dxa" w:w="2016"/>
            <w:vAlign w:val="center"/>
            <w:shd w:fill="FFFFFF"/>
            <w:tcMar>
              <w:top w:w="85" w:type="dxa"/>
              <w:left w:w="85" w:type="dxa"/>
              <w:bottom w:w="85" w:type="dxa"/>
              <w:right w:w="85" w:type="dxa"/>
            </w:tcMar>
          </w:tcPr>
          <w:p>
            <w:pPr>
              <w:spacing w:after="60" w:before="60"/>
            </w:pPr>
            <w:r>
              <w:rPr>
                <w:b w:val="0"/>
                <w:sz w:val="18"/>
              </w:rPr>
              <w:t>Operation states</w:t>
            </w:r>
          </w:p>
        </w:tc>
        <w:tc>
          <w:tcPr>
            <w:tcW w:type="dxa" w:w="7848"/>
            <w:vAlign w:val="center"/>
            <w:shd w:fill="FFFFFF"/>
            <w:tcMar>
              <w:top w:w="85" w:type="dxa"/>
              <w:left w:w="85" w:type="dxa"/>
              <w:bottom w:w="85" w:type="dxa"/>
              <w:right w:w="85" w:type="dxa"/>
            </w:tcMar>
          </w:tcPr>
          <w:p>
            <w:pPr>
              <w:spacing w:after="60" w:before="60"/>
            </w:pPr>
            <w:r>
              <w:rPr>
                <w:b w:val="0"/>
                <w:sz w:val="18"/>
              </w:rPr>
              <w:t>Reserved, payment pending, paid, delivered, delivery failed, released and expired; define transitions.</w:t>
            </w:r>
          </w:p>
        </w:tc>
      </w:tr>
      <w:tr>
        <w:trPr>
          <w:cantSplit/>
        </w:trPr>
        <w:tc>
          <w:tcPr>
            <w:tcW w:type="dxa" w:w="2016"/>
            <w:vAlign w:val="center"/>
            <w:shd w:fill="FFFFFF"/>
            <w:tcMar>
              <w:top w:w="85" w:type="dxa"/>
              <w:left w:w="85" w:type="dxa"/>
              <w:bottom w:w="85" w:type="dxa"/>
              <w:right w:w="85" w:type="dxa"/>
            </w:tcMar>
          </w:tcPr>
          <w:p>
            <w:pPr>
              <w:spacing w:after="60" w:before="60"/>
            </w:pPr>
            <w:r>
              <w:rPr>
                <w:b w:val="0"/>
                <w:sz w:val="18"/>
              </w:rPr>
              <w:t>Decision fields</w:t>
            </w:r>
          </w:p>
        </w:tc>
        <w:tc>
          <w:tcPr>
            <w:tcW w:type="dxa" w:w="7848"/>
            <w:vAlign w:val="center"/>
            <w:shd w:fill="FFFFFF"/>
            <w:tcMar>
              <w:top w:w="85" w:type="dxa"/>
              <w:left w:w="85" w:type="dxa"/>
              <w:bottom w:w="85" w:type="dxa"/>
              <w:right w:w="85" w:type="dxa"/>
            </w:tcMar>
          </w:tcPr>
          <w:p>
            <w:pPr>
              <w:spacing w:after="60" w:before="60"/>
            </w:pPr>
            <w:r>
              <w:rPr>
                <w:b w:val="0"/>
                <w:sz w:val="18"/>
              </w:rPr>
              <w:t>Buy, reuse, wait or reject; alternative, reason, outcome, result reference and evidence IDs.</w:t>
            </w:r>
          </w:p>
        </w:tc>
      </w:tr>
      <w:tr>
        <w:trPr>
          <w:cantSplit/>
        </w:trPr>
        <w:tc>
          <w:tcPr>
            <w:tcW w:type="dxa" w:w="2016"/>
            <w:vAlign w:val="center"/>
            <w:shd w:fill="FFFFFF"/>
            <w:tcMar>
              <w:top w:w="85" w:type="dxa"/>
              <w:left w:w="85" w:type="dxa"/>
              <w:bottom w:w="85" w:type="dxa"/>
              <w:right w:w="85" w:type="dxa"/>
            </w:tcMar>
          </w:tcPr>
          <w:p>
            <w:pPr>
              <w:spacing w:after="60" w:before="60"/>
            </w:pPr>
            <w:r>
              <w:rPr>
                <w:b w:val="0"/>
                <w:sz w:val="18"/>
              </w:rPr>
              <w:t>Result metadata</w:t>
            </w:r>
          </w:p>
        </w:tc>
        <w:tc>
          <w:tcPr>
            <w:tcW w:type="dxa" w:w="7848"/>
            <w:vAlign w:val="center"/>
            <w:shd w:fill="FFFFFF"/>
            <w:tcMar>
              <w:top w:w="85" w:type="dxa"/>
              <w:left w:w="85" w:type="dxa"/>
              <w:bottom w:w="85" w:type="dxa"/>
              <w:right w:w="85" w:type="dxa"/>
            </w:tcMar>
          </w:tcPr>
          <w:p>
            <w:pPr>
              <w:spacing w:after="60" w:before="60"/>
            </w:pPr>
            <w:r>
              <w:rPr>
                <w:b w:val="0"/>
                <w:sz w:val="18"/>
              </w:rPr>
              <w:t>Freshness expiry, capability tags, usable flag and failure reason; private content stays in authorized storage.</w:t>
            </w:r>
          </w:p>
        </w:tc>
      </w:tr>
      <w:tr>
        <w:trPr>
          <w:cantSplit/>
        </w:trPr>
        <w:tc>
          <w:tcPr>
            <w:tcW w:type="dxa" w:w="2016"/>
            <w:vAlign w:val="center"/>
            <w:shd w:fill="FFFFFF"/>
            <w:tcMar>
              <w:top w:w="85" w:type="dxa"/>
              <w:left w:w="85" w:type="dxa"/>
              <w:bottom w:w="85" w:type="dxa"/>
              <w:right w:w="85" w:type="dxa"/>
            </w:tcMar>
          </w:tcPr>
          <w:p>
            <w:pPr>
              <w:spacing w:after="60" w:before="60"/>
            </w:pPr>
            <w:r>
              <w:rPr>
                <w:b w:val="0"/>
                <w:sz w:val="18"/>
              </w:rPr>
              <w:t>Errors and reads</w:t>
            </w:r>
          </w:p>
        </w:tc>
        <w:tc>
          <w:tcPr>
            <w:tcW w:type="dxa" w:w="7848"/>
            <w:vAlign w:val="center"/>
            <w:shd w:fill="FFFFFF"/>
            <w:tcMar>
              <w:top w:w="85" w:type="dxa"/>
              <w:left w:w="85" w:type="dxa"/>
              <w:bottom w:w="85" w:type="dxa"/>
              <w:right w:w="85" w:type="dxa"/>
            </w:tcMar>
          </w:tcPr>
          <w:p>
            <w:pPr>
              <w:spacing w:after="60" w:before="60"/>
            </w:pPr>
            <w:r>
              <w:rPr>
                <w:b w:val="0"/>
                <w:sz w:val="18"/>
              </w:rPr>
              <w:t>Typed errors plus indexed block or synchronization status. Define empty results and pagination.</w:t>
            </w:r>
          </w:p>
        </w:tc>
      </w:tr>
    </w:tbl>
    <w:p/>
    <w:p>
      <w:pPr>
        <w:pStyle w:val="Heading2"/>
      </w:pPr>
      <w:r>
        <w:t>Component interfaces</w:t>
      </w:r>
    </w:p>
    <w:p>
      <w:r>
        <w:t>SpendingAdapter — reserve, executePayment, getOperation, release, recordDecision. Kavish supplies a real implementation; the lead supplies fixtures.</w:t>
      </w:r>
    </w:p>
    <w:p>
      <w:r>
        <w:t>MemoryReader — findPurchases, getDecisionHistory, getWorkspaceStats. Aditya supplies the Graph implementation with the same response shapes as the fixtures.</w:t>
      </w:r>
    </w:p>
    <w:p>
      <w:r>
        <w:t>ResultStore — put and get an authorized result reference. The lead owns storage and retrieval checks.</w:t>
      </w:r>
    </w:p>
    <w:p>
      <w:pPr>
        <w:pStyle w:val="Heading2"/>
      </w:pPr>
      <w:r>
        <w:t>Authority and consistency</w:t>
      </w:r>
    </w:p>
    <w:p>
      <w:r>
        <w:t>Graph supports discovery and history. Contract checks and verified payment state decide whether spending is permitted. A delayed index must never authorize a second purchase. Decisions and payment states remain separate: reuse and wait decisions do not create payments.</w:t>
      </w:r>
    </w:p>
    <w:p>
      <w:r>
        <w:t>☐  Commit versioned types, event ABI and representative JSON fixtures.</w:t>
      </w:r>
    </w:p>
    <w:p>
      <w:r>
        <w:t>☐  All three components compile against the shared interfaces.</w:t>
      </w:r>
    </w:p>
    <w:p>
      <w:r>
        <w:t>☐  Agree how reuse decisions become indexable events, including who may submit them.</w:t>
      </w:r>
    </w:p>
    <w:p>
      <w:r>
        <w:br w:type="page"/>
      </w:r>
    </w:p>
    <w:p>
      <w:pPr>
        <w:pStyle w:val="Subtitle"/>
      </w:pPr>
      <w:r>
        <w:t>COMMON  /  TEAM WORKSPACE  /  4</w:t>
      </w:r>
    </w:p>
    <w:p>
      <w:pPr>
        <w:pStyle w:val="Heading1"/>
      </w:pPr>
      <w:r>
        <w:t>Phases 1 and 2 build in parallel</w:t>
      </w:r>
    </w:p>
    <w:p>
      <w:pPr>
        <w:pStyle w:val="Heading2"/>
      </w:pPr>
      <w:r>
        <w:t>Phase 1 independent foundations</w:t>
      </w:r>
    </w:p>
    <w:p>
      <w:pPr>
        <w:pStyle w:val="Subtitle"/>
      </w:pPr>
      <w:r>
        <w:t>WHEN  Days 1–2     GATE  Mock demo plus real feasibility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352"/>
      </w:tblGrid>
      <w:tr>
        <w:trPr>
          <w:cantSplit/>
          <w:tblHeader/>
        </w:trPr>
        <w:tc>
          <w:tcPr>
            <w:tcW w:type="dxa" w:w="1512"/>
            <w:vAlign w:val="center"/>
            <w:shd w:fill="EAEAEA"/>
            <w:tcMar>
              <w:top w:w="85" w:type="dxa"/>
              <w:left w:w="85" w:type="dxa"/>
              <w:bottom w:w="85" w:type="dxa"/>
              <w:right w:w="85" w:type="dxa"/>
            </w:tcMar>
          </w:tcPr>
          <w:p>
            <w:pPr>
              <w:spacing w:after="60" w:before="60"/>
            </w:pPr>
            <w:r>
              <w:rPr>
                <w:b/>
                <w:sz w:val="18"/>
              </w:rPr>
              <w:t>Owner</w:t>
            </w:r>
          </w:p>
        </w:tc>
        <w:tc>
          <w:tcPr>
            <w:tcW w:type="dxa" w:w="8352"/>
            <w:vAlign w:val="center"/>
            <w:shd w:fill="EAEAEA"/>
            <w:tcMar>
              <w:top w:w="85" w:type="dxa"/>
              <w:left w:w="85" w:type="dxa"/>
              <w:bottom w:w="85" w:type="dxa"/>
              <w:right w:w="85" w:type="dxa"/>
            </w:tcMar>
          </w:tcPr>
          <w:p>
            <w:pPr>
              <w:spacing w:after="60" w:before="60"/>
            </w:pPr>
            <w:r>
              <w:rPr>
                <w:b/>
                <w:sz w:val="18"/>
              </w:rPr>
              <w:t>Deliverables</w:t>
            </w:r>
          </w:p>
        </w:tc>
      </w:tr>
      <w:tr>
        <w:trPr>
          <w:cantSplit/>
        </w:trPr>
        <w:tc>
          <w:tcPr>
            <w:tcW w:type="dxa" w:w="1512"/>
            <w:vAlign w:val="center"/>
            <w:shd w:fill="FFFFFF"/>
            <w:tcMar>
              <w:top w:w="85" w:type="dxa"/>
              <w:left w:w="85" w:type="dxa"/>
              <w:bottom w:w="85" w:type="dxa"/>
              <w:right w:w="85" w:type="dxa"/>
            </w:tcMar>
          </w:tcPr>
          <w:p>
            <w:pPr>
              <w:spacing w:after="60" w:before="60"/>
            </w:pPr>
            <w:r>
              <w:rPr>
                <w:b w:val="0"/>
                <w:sz w:val="18"/>
              </w:rPr>
              <w:t>Aditya</w:t>
            </w:r>
          </w:p>
        </w:tc>
        <w:tc>
          <w:tcPr>
            <w:tcW w:type="dxa" w:w="8352"/>
            <w:vAlign w:val="center"/>
            <w:shd w:fill="FFFFFF"/>
            <w:tcMar>
              <w:top w:w="85" w:type="dxa"/>
              <w:left w:w="85" w:type="dxa"/>
              <w:bottom w:w="85" w:type="dxa"/>
              <w:right w:w="85" w:type="dxa"/>
            </w:tcMar>
          </w:tcPr>
          <w:p>
            <w:pPr>
              <w:spacing w:after="60" w:before="60"/>
            </w:pPr>
            <w:r>
              <w:rPr>
                <w:b w:val="0"/>
                <w:sz w:val="18"/>
              </w:rPr>
              <w:t>Define Workspace, Purchase and Decision entities. Build mappings from sample events and a fixture-backed query client. Validate the actual live indexing and deployment path.</w:t>
            </w:r>
          </w:p>
        </w:tc>
      </w:tr>
      <w:tr>
        <w:trPr>
          <w:cantSplit/>
        </w:trPr>
        <w:tc>
          <w:tcPr>
            <w:tcW w:type="dxa" w:w="1512"/>
            <w:vAlign w:val="center"/>
            <w:shd w:fill="FFFFFF"/>
            <w:tcMar>
              <w:top w:w="85" w:type="dxa"/>
              <w:left w:w="85" w:type="dxa"/>
              <w:bottom w:w="85" w:type="dxa"/>
              <w:right w:w="85" w:type="dxa"/>
            </w:tcMar>
          </w:tcPr>
          <w:p>
            <w:pPr>
              <w:spacing w:after="60" w:before="60"/>
            </w:pPr>
            <w:r>
              <w:rPr>
                <w:b w:val="0"/>
                <w:sz w:val="18"/>
              </w:rPr>
              <w:t>Kavish</w:t>
            </w:r>
          </w:p>
        </w:tc>
        <w:tc>
          <w:tcPr>
            <w:tcW w:type="dxa" w:w="8352"/>
            <w:vAlign w:val="center"/>
            <w:shd w:fill="FFFFFF"/>
            <w:tcMar>
              <w:top w:w="85" w:type="dxa"/>
              <w:left w:w="85" w:type="dxa"/>
              <w:bottom w:w="85" w:type="dxa"/>
              <w:right w:w="85" w:type="dxa"/>
            </w:tcMar>
          </w:tcPr>
          <w:p>
            <w:pPr>
              <w:spacing w:after="60" w:before="60"/>
            </w:pPr>
            <w:r>
              <w:rPr>
                <w:b w:val="0"/>
                <w:sz w:val="18"/>
              </w:rPr>
              <w:t>Implement reservation and authorization foundation. Stand up the gated service and prove a real Blocky402 request. Validate that agents cannot bypass the budget via the signer. Start HCS recording.</w:t>
            </w:r>
          </w:p>
        </w:tc>
      </w:tr>
      <w:tr>
        <w:trPr>
          <w:cantSplit/>
        </w:trPr>
        <w:tc>
          <w:tcPr>
            <w:tcW w:type="dxa" w:w="1512"/>
            <w:vAlign w:val="center"/>
            <w:shd w:fill="FFFFFF"/>
            <w:tcMar>
              <w:top w:w="85" w:type="dxa"/>
              <w:left w:w="85" w:type="dxa"/>
              <w:bottom w:w="85" w:type="dxa"/>
              <w:right w:w="85" w:type="dxa"/>
            </w:tcMar>
          </w:tcPr>
          <w:p>
            <w:pPr>
              <w:spacing w:after="60" w:before="60"/>
            </w:pPr>
            <w:r>
              <w:rPr>
                <w:b w:val="0"/>
                <w:sz w:val="18"/>
              </w:rPr>
              <w:t>Project lead</w:t>
            </w:r>
          </w:p>
        </w:tc>
        <w:tc>
          <w:tcPr>
            <w:tcW w:type="dxa" w:w="8352"/>
            <w:vAlign w:val="center"/>
            <w:shd w:fill="FFFFFF"/>
            <w:tcMar>
              <w:top w:w="85" w:type="dxa"/>
              <w:left w:w="85" w:type="dxa"/>
              <w:bottom w:w="85" w:type="dxa"/>
              <w:right w:w="85" w:type="dxa"/>
            </w:tcMar>
          </w:tcPr>
          <w:p>
            <w:pPr>
              <w:spacing w:after="60" w:before="60"/>
            </w:pPr>
            <w:r>
              <w:rPr>
                <w:b w:val="0"/>
                <w:sz w:val="18"/>
              </w:rPr>
              <w:t>Build the frontend, two agent workflows, result storage and orchestrator against mocks. Create the shared fixture suite and run the full simulated demo.</w:t>
            </w:r>
          </w:p>
        </w:tc>
      </w:tr>
    </w:tbl>
    <w:p/>
    <w:p>
      <w:r>
        <w:t>Shared fixtures: successful purchase, reusable result, conflicting reservation, insufficient budget, stale result, unusable result, unknown settlement, and paid delivery failure.</w:t>
      </w:r>
    </w:p>
    <w:p>
      <w:r>
        <w:t>☐  Full demo runs with mocks and is clearly labeled as simulated.</w:t>
      </w:r>
    </w:p>
    <w:p>
      <w:r>
        <w:t>☐  Payment proof includes a real receipt and the proposed enforced funding path.</w:t>
      </w:r>
    </w:p>
    <w:p>
      <w:r>
        <w:t>☐  Live Graph deployment feasibility is demonstrated, not assumed.</w:t>
      </w:r>
    </w:p>
    <w:p>
      <w:pPr>
        <w:pStyle w:val="Heading2"/>
      </w:pPr>
      <w:r>
        <w:t>Phase 2 real components</w:t>
      </w:r>
    </w:p>
    <w:p>
      <w:pPr>
        <w:pStyle w:val="Subtitle"/>
      </w:pPr>
      <w:r>
        <w:t>WHEN  Days 3–4     GATE  Independently runnable live components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352"/>
      </w:tblGrid>
      <w:tr>
        <w:trPr>
          <w:cantSplit/>
          <w:tblHeader/>
        </w:trPr>
        <w:tc>
          <w:tcPr>
            <w:tcW w:type="dxa" w:w="1512"/>
            <w:vAlign w:val="center"/>
            <w:shd w:fill="EAEAEA"/>
            <w:tcMar>
              <w:top w:w="85" w:type="dxa"/>
              <w:left w:w="85" w:type="dxa"/>
              <w:bottom w:w="85" w:type="dxa"/>
              <w:right w:w="85" w:type="dxa"/>
            </w:tcMar>
          </w:tcPr>
          <w:p>
            <w:pPr>
              <w:spacing w:after="60" w:before="60"/>
            </w:pPr>
            <w:r>
              <w:rPr>
                <w:b/>
                <w:sz w:val="18"/>
              </w:rPr>
              <w:t>Owner</w:t>
            </w:r>
          </w:p>
        </w:tc>
        <w:tc>
          <w:tcPr>
            <w:tcW w:type="dxa" w:w="8352"/>
            <w:vAlign w:val="center"/>
            <w:shd w:fill="EAEAEA"/>
            <w:tcMar>
              <w:top w:w="85" w:type="dxa"/>
              <w:left w:w="85" w:type="dxa"/>
              <w:bottom w:w="85" w:type="dxa"/>
              <w:right w:w="85" w:type="dxa"/>
            </w:tcMar>
          </w:tcPr>
          <w:p>
            <w:pPr>
              <w:spacing w:after="60" w:before="60"/>
            </w:pPr>
            <w:r>
              <w:rPr>
                <w:b/>
                <w:sz w:val="18"/>
              </w:rPr>
              <w:t>Deliverables</w:t>
            </w:r>
          </w:p>
        </w:tc>
      </w:tr>
      <w:tr>
        <w:trPr>
          <w:cantSplit/>
        </w:trPr>
        <w:tc>
          <w:tcPr>
            <w:tcW w:type="dxa" w:w="1512"/>
            <w:vAlign w:val="center"/>
            <w:shd w:fill="FFFFFF"/>
            <w:tcMar>
              <w:top w:w="85" w:type="dxa"/>
              <w:left w:w="85" w:type="dxa"/>
              <w:bottom w:w="85" w:type="dxa"/>
              <w:right w:w="85" w:type="dxa"/>
            </w:tcMar>
          </w:tcPr>
          <w:p>
            <w:pPr>
              <w:spacing w:after="60" w:before="60"/>
            </w:pPr>
            <w:r>
              <w:rPr>
                <w:b w:val="0"/>
                <w:sz w:val="18"/>
              </w:rPr>
              <w:t>Aditya</w:t>
            </w:r>
          </w:p>
        </w:tc>
        <w:tc>
          <w:tcPr>
            <w:tcW w:type="dxa" w:w="8352"/>
            <w:vAlign w:val="center"/>
            <w:shd w:fill="FFFFFF"/>
            <w:tcMar>
              <w:top w:w="85" w:type="dxa"/>
              <w:left w:w="85" w:type="dxa"/>
              <w:bottom w:w="85" w:type="dxa"/>
              <w:right w:w="85" w:type="dxa"/>
            </w:tcMar>
          </w:tcPr>
          <w:p>
            <w:pPr>
              <w:spacing w:after="60" w:before="60"/>
            </w:pPr>
            <w:r>
              <w:rPr>
                <w:b w:val="0"/>
                <w:sz w:val="18"/>
              </w:rPr>
              <w:t>Live purchase and outcome queries; decision history; counters; synchronization metadata; deployed endpoint and example queries.</w:t>
            </w:r>
          </w:p>
        </w:tc>
      </w:tr>
      <w:tr>
        <w:trPr>
          <w:cantSplit/>
        </w:trPr>
        <w:tc>
          <w:tcPr>
            <w:tcW w:type="dxa" w:w="1512"/>
            <w:vAlign w:val="center"/>
            <w:shd w:fill="FFFFFF"/>
            <w:tcMar>
              <w:top w:w="85" w:type="dxa"/>
              <w:left w:w="85" w:type="dxa"/>
              <w:bottom w:w="85" w:type="dxa"/>
              <w:right w:w="85" w:type="dxa"/>
            </w:tcMar>
          </w:tcPr>
          <w:p>
            <w:pPr>
              <w:spacing w:after="60" w:before="60"/>
            </w:pPr>
            <w:r>
              <w:rPr>
                <w:b w:val="0"/>
                <w:sz w:val="18"/>
              </w:rPr>
              <w:t>Kavish</w:t>
            </w:r>
          </w:p>
        </w:tc>
        <w:tc>
          <w:tcPr>
            <w:tcW w:type="dxa" w:w="8352"/>
            <w:vAlign w:val="center"/>
            <w:shd w:fill="FFFFFF"/>
            <w:tcMar>
              <w:top w:w="85" w:type="dxa"/>
              <w:left w:w="85" w:type="dxa"/>
              <w:bottom w:w="85" w:type="dxa"/>
              <w:right w:w="85" w:type="dxa"/>
            </w:tcMar>
          </w:tcPr>
          <w:p>
            <w:pPr>
              <w:spacing w:after="60" w:before="60"/>
            </w:pPr>
            <w:r>
              <w:rPr>
                <w:b w:val="0"/>
                <w:sz w:val="18"/>
              </w:rPr>
              <w:t>Funding, atomic reservations, expiry rules, settlement reconciliation, indexed events, HCS notes and deployment scripts.</w:t>
            </w:r>
          </w:p>
        </w:tc>
      </w:tr>
      <w:tr>
        <w:trPr>
          <w:cantSplit/>
        </w:trPr>
        <w:tc>
          <w:tcPr>
            <w:tcW w:type="dxa" w:w="1512"/>
            <w:vAlign w:val="center"/>
            <w:shd w:fill="FFFFFF"/>
            <w:tcMar>
              <w:top w:w="85" w:type="dxa"/>
              <w:left w:w="85" w:type="dxa"/>
              <w:bottom w:w="85" w:type="dxa"/>
              <w:right w:w="85" w:type="dxa"/>
            </w:tcMar>
          </w:tcPr>
          <w:p>
            <w:pPr>
              <w:spacing w:after="60" w:before="60"/>
            </w:pPr>
            <w:r>
              <w:rPr>
                <w:b w:val="0"/>
                <w:sz w:val="18"/>
              </w:rPr>
              <w:t>Project lead</w:t>
            </w:r>
          </w:p>
        </w:tc>
        <w:tc>
          <w:tcPr>
            <w:tcW w:type="dxa" w:w="8352"/>
            <w:vAlign w:val="center"/>
            <w:shd w:fill="FFFFFF"/>
            <w:tcMar>
              <w:top w:w="85" w:type="dxa"/>
              <w:left w:w="85" w:type="dxa"/>
              <w:bottom w:w="85" w:type="dxa"/>
              <w:right w:w="85" w:type="dxa"/>
            </w:tcMar>
          </w:tcPr>
          <w:p>
            <w:pPr>
              <w:spacing w:after="60" w:before="60"/>
            </w:pPr>
            <w:r>
              <w:rPr>
                <w:b w:val="0"/>
                <w:sz w:val="18"/>
              </w:rPr>
              <w:t>Persistent workflow operations, agent tools, freshness and capability checks, wait/resume behavior, deliverables and a comparable baseline run.</w:t>
            </w:r>
          </w:p>
        </w:tc>
      </w:tr>
    </w:tbl>
    <w:p/>
    <w:p>
      <w:r>
        <w:t>☐  Each component has documented setup, environment variables and a smoke test.</w:t>
      </w:r>
    </w:p>
    <w:p>
      <w:r>
        <w:t>☐  Unknown settlement cannot expire into another payment.</w:t>
      </w:r>
    </w:p>
    <w:p>
      <w:r>
        <w:t>☐  Mocks and live implementations return compatible responses.</w:t>
      </w:r>
    </w:p>
    <w:p>
      <w:r>
        <w:br w:type="page"/>
      </w:r>
    </w:p>
    <w:p>
      <w:pPr>
        <w:pStyle w:val="Subtitle"/>
      </w:pPr>
      <w:r>
        <w:t>COMMON  /  TEAM WORKSPACE  /  5</w:t>
      </w:r>
    </w:p>
    <w:p>
      <w:pPr>
        <w:pStyle w:val="Heading1"/>
      </w:pPr>
      <w:r>
        <w:t>Phase 3 integrate the real workflow</w:t>
      </w:r>
    </w:p>
    <w:p>
      <w:pPr>
        <w:pStyle w:val="Subtitle"/>
      </w:pPr>
      <w:r>
        <w:t>WHEN  Days 5–6     OWNER  Project lead coordinates component owners</w:t>
      </w:r>
    </w:p>
    <w:p>
      <w:r>
        <w:t>Connect one complete flow before adding more scenarios. Swap one adapter at a time so any failure has a clear boundary and owner.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3312"/>
        <w:gridCol w:w="5832"/>
      </w:tblGrid>
      <w:tr>
        <w:trPr>
          <w:cantSplit/>
          <w:tblHeader/>
        </w:trPr>
        <w:tc>
          <w:tcPr>
            <w:tcW w:type="dxa" w:w="720"/>
            <w:vAlign w:val="center"/>
            <w:shd w:fill="EAEAEA"/>
            <w:tcMar>
              <w:top w:w="85" w:type="dxa"/>
              <w:left w:w="85" w:type="dxa"/>
              <w:bottom w:w="85" w:type="dxa"/>
              <w:right w:w="85" w:type="dxa"/>
            </w:tcMar>
          </w:tcPr>
          <w:p>
            <w:pPr>
              <w:spacing w:after="60" w:before="60"/>
            </w:pPr>
            <w:r>
              <w:rPr>
                <w:b/>
                <w:sz w:val="18"/>
              </w:rPr>
              <w:t>Step</w:t>
            </w:r>
          </w:p>
        </w:tc>
        <w:tc>
          <w:tcPr>
            <w:tcW w:type="dxa" w:w="3312"/>
            <w:vAlign w:val="center"/>
            <w:shd w:fill="EAEAEA"/>
            <w:tcMar>
              <w:top w:w="85" w:type="dxa"/>
              <w:left w:w="85" w:type="dxa"/>
              <w:bottom w:w="85" w:type="dxa"/>
              <w:right w:w="85" w:type="dxa"/>
            </w:tcMar>
          </w:tcPr>
          <w:p>
            <w:pPr>
              <w:spacing w:after="60" w:before="60"/>
            </w:pPr>
            <w:r>
              <w:rPr>
                <w:b/>
                <w:sz w:val="18"/>
              </w:rPr>
              <w:t>Connection</w:t>
            </w:r>
          </w:p>
        </w:tc>
        <w:tc>
          <w:tcPr>
            <w:tcW w:type="dxa" w:w="5832"/>
            <w:vAlign w:val="center"/>
            <w:shd w:fill="EAEAEA"/>
            <w:tcMar>
              <w:top w:w="85" w:type="dxa"/>
              <w:left w:w="85" w:type="dxa"/>
              <w:bottom w:w="85" w:type="dxa"/>
              <w:right w:w="85" w:type="dxa"/>
            </w:tcMar>
          </w:tcPr>
          <w:p>
            <w:pPr>
              <w:spacing w:after="60" w:before="60"/>
            </w:pPr>
            <w:r>
              <w:rPr>
                <w:b/>
                <w:sz w:val="18"/>
              </w:rPr>
              <w:t>Pass evidence</w:t>
            </w:r>
          </w:p>
        </w:tc>
      </w:tr>
      <w:tr>
        <w:trPr>
          <w:cantSplit/>
        </w:trPr>
        <w:tc>
          <w:tcPr>
            <w:tcW w:type="dxa" w:w="720"/>
            <w:vAlign w:val="center"/>
            <w:shd w:fill="FFFFFF"/>
            <w:tcMar>
              <w:top w:w="85" w:type="dxa"/>
              <w:left w:w="85" w:type="dxa"/>
              <w:bottom w:w="85" w:type="dxa"/>
              <w:right w:w="85" w:type="dxa"/>
            </w:tcMar>
          </w:tcPr>
          <w:p>
            <w:pPr>
              <w:spacing w:after="60" w:before="60"/>
            </w:pPr>
            <w:r>
              <w:rPr>
                <w:b w:val="0"/>
                <w:sz w:val="18"/>
              </w:rPr>
              <w:t>1</w:t>
            </w:r>
          </w:p>
        </w:tc>
        <w:tc>
          <w:tcPr>
            <w:tcW w:type="dxa" w:w="3312"/>
            <w:vAlign w:val="center"/>
            <w:shd w:fill="FFFFFF"/>
            <w:tcMar>
              <w:top w:w="85" w:type="dxa"/>
              <w:left w:w="85" w:type="dxa"/>
              <w:bottom w:w="85" w:type="dxa"/>
              <w:right w:w="85" w:type="dxa"/>
            </w:tcMar>
          </w:tcPr>
          <w:p>
            <w:pPr>
              <w:spacing w:after="60" w:before="60"/>
            </w:pPr>
            <w:r>
              <w:rPr>
                <w:b w:val="0"/>
                <w:sz w:val="18"/>
              </w:rPr>
              <w:t>Orchestrator → reservation</w:t>
            </w:r>
          </w:p>
        </w:tc>
        <w:tc>
          <w:tcPr>
            <w:tcW w:type="dxa" w:w="5832"/>
            <w:vAlign w:val="center"/>
            <w:shd w:fill="FFFFFF"/>
            <w:tcMar>
              <w:top w:w="85" w:type="dxa"/>
              <w:left w:w="85" w:type="dxa"/>
              <w:bottom w:w="85" w:type="dxa"/>
              <w:right w:w="85" w:type="dxa"/>
            </w:tcMar>
          </w:tcPr>
          <w:p>
            <w:pPr>
              <w:spacing w:after="60" w:before="60"/>
            </w:pPr>
            <w:r>
              <w:rPr>
                <w:b w:val="0"/>
                <w:sz w:val="18"/>
              </w:rPr>
              <w:t>Authorized reserve succeeds and reduces available budget.</w:t>
            </w:r>
          </w:p>
        </w:tc>
      </w:tr>
      <w:tr>
        <w:trPr>
          <w:cantSplit/>
        </w:trPr>
        <w:tc>
          <w:tcPr>
            <w:tcW w:type="dxa" w:w="720"/>
            <w:vAlign w:val="center"/>
            <w:shd w:fill="FFFFFF"/>
            <w:tcMar>
              <w:top w:w="85" w:type="dxa"/>
              <w:left w:w="85" w:type="dxa"/>
              <w:bottom w:w="85" w:type="dxa"/>
              <w:right w:w="85" w:type="dxa"/>
            </w:tcMar>
          </w:tcPr>
          <w:p>
            <w:pPr>
              <w:spacing w:after="60" w:before="60"/>
            </w:pPr>
            <w:r>
              <w:rPr>
                <w:b w:val="0"/>
                <w:sz w:val="18"/>
              </w:rPr>
              <w:t>2</w:t>
            </w:r>
          </w:p>
        </w:tc>
        <w:tc>
          <w:tcPr>
            <w:tcW w:type="dxa" w:w="3312"/>
            <w:vAlign w:val="center"/>
            <w:shd w:fill="FFFFFF"/>
            <w:tcMar>
              <w:top w:w="85" w:type="dxa"/>
              <w:left w:w="85" w:type="dxa"/>
              <w:bottom w:w="85" w:type="dxa"/>
              <w:right w:w="85" w:type="dxa"/>
            </w:tcMar>
          </w:tcPr>
          <w:p>
            <w:pPr>
              <w:spacing w:after="60" w:before="60"/>
            </w:pPr>
            <w:r>
              <w:rPr>
                <w:b w:val="0"/>
                <w:sz w:val="18"/>
              </w:rPr>
              <w:t>Reservation → payment → storage</w:t>
            </w:r>
          </w:p>
        </w:tc>
        <w:tc>
          <w:tcPr>
            <w:tcW w:type="dxa" w:w="5832"/>
            <w:vAlign w:val="center"/>
            <w:shd w:fill="FFFFFF"/>
            <w:tcMar>
              <w:top w:w="85" w:type="dxa"/>
              <w:left w:w="85" w:type="dxa"/>
              <w:bottom w:w="85" w:type="dxa"/>
              <w:right w:w="85" w:type="dxa"/>
            </w:tcMar>
          </w:tcPr>
          <w:p>
            <w:pPr>
              <w:spacing w:after="60" w:before="60"/>
            </w:pPr>
            <w:r>
              <w:rPr>
                <w:b w:val="0"/>
                <w:sz w:val="18"/>
              </w:rPr>
              <w:t>Real receipt and stored result share the operation ID.</w:t>
            </w:r>
          </w:p>
        </w:tc>
      </w:tr>
      <w:tr>
        <w:trPr>
          <w:cantSplit/>
        </w:trPr>
        <w:tc>
          <w:tcPr>
            <w:tcW w:type="dxa" w:w="720"/>
            <w:vAlign w:val="center"/>
            <w:shd w:fill="FFFFFF"/>
            <w:tcMar>
              <w:top w:w="85" w:type="dxa"/>
              <w:left w:w="85" w:type="dxa"/>
              <w:bottom w:w="85" w:type="dxa"/>
              <w:right w:w="85" w:type="dxa"/>
            </w:tcMar>
          </w:tcPr>
          <w:p>
            <w:pPr>
              <w:spacing w:after="60" w:before="60"/>
            </w:pPr>
            <w:r>
              <w:rPr>
                <w:b w:val="0"/>
                <w:sz w:val="18"/>
              </w:rPr>
              <w:t>3</w:t>
            </w:r>
          </w:p>
        </w:tc>
        <w:tc>
          <w:tcPr>
            <w:tcW w:type="dxa" w:w="3312"/>
            <w:vAlign w:val="center"/>
            <w:shd w:fill="FFFFFF"/>
            <w:tcMar>
              <w:top w:w="85" w:type="dxa"/>
              <w:left w:w="85" w:type="dxa"/>
              <w:bottom w:w="85" w:type="dxa"/>
              <w:right w:w="85" w:type="dxa"/>
            </w:tcMar>
          </w:tcPr>
          <w:p>
            <w:pPr>
              <w:spacing w:after="60" w:before="60"/>
            </w:pPr>
            <w:r>
              <w:rPr>
                <w:b w:val="0"/>
                <w:sz w:val="18"/>
              </w:rPr>
              <w:t>Decision → event and HCS</w:t>
            </w:r>
          </w:p>
        </w:tc>
        <w:tc>
          <w:tcPr>
            <w:tcW w:type="dxa" w:w="5832"/>
            <w:vAlign w:val="center"/>
            <w:shd w:fill="FFFFFF"/>
            <w:tcMar>
              <w:top w:w="85" w:type="dxa"/>
              <w:left w:w="85" w:type="dxa"/>
              <w:bottom w:w="85" w:type="dxa"/>
              <w:right w:w="85" w:type="dxa"/>
            </w:tcMar>
          </w:tcPr>
          <w:p>
            <w:pPr>
              <w:spacing w:after="60" w:before="60"/>
            </w:pPr>
            <w:r>
              <w:rPr>
                <w:b w:val="0"/>
                <w:sz w:val="18"/>
              </w:rPr>
              <w:t>Both records use the same decision ID and relevant receipt references.</w:t>
            </w:r>
          </w:p>
        </w:tc>
      </w:tr>
      <w:tr>
        <w:trPr>
          <w:cantSplit/>
        </w:trPr>
        <w:tc>
          <w:tcPr>
            <w:tcW w:type="dxa" w:w="720"/>
            <w:vAlign w:val="center"/>
            <w:shd w:fill="FFFFFF"/>
            <w:tcMar>
              <w:top w:w="85" w:type="dxa"/>
              <w:left w:w="85" w:type="dxa"/>
              <w:bottom w:w="85" w:type="dxa"/>
              <w:right w:w="85" w:type="dxa"/>
            </w:tcMar>
          </w:tcPr>
          <w:p>
            <w:pPr>
              <w:spacing w:after="60" w:before="60"/>
            </w:pPr>
            <w:r>
              <w:rPr>
                <w:b w:val="0"/>
                <w:sz w:val="18"/>
              </w:rPr>
              <w:t>4</w:t>
            </w:r>
          </w:p>
        </w:tc>
        <w:tc>
          <w:tcPr>
            <w:tcW w:type="dxa" w:w="3312"/>
            <w:vAlign w:val="center"/>
            <w:shd w:fill="FFFFFF"/>
            <w:tcMar>
              <w:top w:w="85" w:type="dxa"/>
              <w:left w:w="85" w:type="dxa"/>
              <w:bottom w:w="85" w:type="dxa"/>
              <w:right w:w="85" w:type="dxa"/>
            </w:tcMar>
          </w:tcPr>
          <w:p>
            <w:pPr>
              <w:spacing w:after="60" w:before="60"/>
            </w:pPr>
            <w:r>
              <w:rPr>
                <w:b w:val="0"/>
                <w:sz w:val="18"/>
              </w:rPr>
              <w:t>Contract event → Graph</w:t>
            </w:r>
          </w:p>
        </w:tc>
        <w:tc>
          <w:tcPr>
            <w:tcW w:type="dxa" w:w="5832"/>
            <w:vAlign w:val="center"/>
            <w:shd w:fill="FFFFFF"/>
            <w:tcMar>
              <w:top w:w="85" w:type="dxa"/>
              <w:left w:w="85" w:type="dxa"/>
              <w:bottom w:w="85" w:type="dxa"/>
              <w:right w:w="85" w:type="dxa"/>
            </w:tcMar>
          </w:tcPr>
          <w:p>
            <w:pPr>
              <w:spacing w:after="60" w:before="60"/>
            </w:pPr>
            <w:r>
              <w:rPr>
                <w:b w:val="0"/>
                <w:sz w:val="18"/>
              </w:rPr>
              <w:t>Live query returns the purchase, outcome and result reference.</w:t>
            </w:r>
          </w:p>
        </w:tc>
      </w:tr>
      <w:tr>
        <w:trPr>
          <w:cantSplit/>
        </w:trPr>
        <w:tc>
          <w:tcPr>
            <w:tcW w:type="dxa" w:w="720"/>
            <w:vAlign w:val="center"/>
            <w:shd w:fill="FFFFFF"/>
            <w:tcMar>
              <w:top w:w="85" w:type="dxa"/>
              <w:left w:w="85" w:type="dxa"/>
              <w:bottom w:w="85" w:type="dxa"/>
              <w:right w:w="85" w:type="dxa"/>
            </w:tcMar>
          </w:tcPr>
          <w:p>
            <w:pPr>
              <w:spacing w:after="60" w:before="60"/>
            </w:pPr>
            <w:r>
              <w:rPr>
                <w:b w:val="0"/>
                <w:sz w:val="18"/>
              </w:rPr>
              <w:t>5</w:t>
            </w:r>
          </w:p>
        </w:tc>
        <w:tc>
          <w:tcPr>
            <w:tcW w:type="dxa" w:w="3312"/>
            <w:vAlign w:val="center"/>
            <w:shd w:fill="FFFFFF"/>
            <w:tcMar>
              <w:top w:w="85" w:type="dxa"/>
              <w:left w:w="85" w:type="dxa"/>
              <w:bottom w:w="85" w:type="dxa"/>
              <w:right w:w="85" w:type="dxa"/>
            </w:tcMar>
          </w:tcPr>
          <w:p>
            <w:pPr>
              <w:spacing w:after="60" w:before="60"/>
            </w:pPr>
            <w:r>
              <w:rPr>
                <w:b w:val="0"/>
                <w:sz w:val="18"/>
              </w:rPr>
              <w:t>Agent B → indexed memory → result</w:t>
            </w:r>
          </w:p>
        </w:tc>
        <w:tc>
          <w:tcPr>
            <w:tcW w:type="dxa" w:w="5832"/>
            <w:vAlign w:val="center"/>
            <w:shd w:fill="FFFFFF"/>
            <w:tcMar>
              <w:top w:w="85" w:type="dxa"/>
              <w:left w:w="85" w:type="dxa"/>
              <w:bottom w:w="85" w:type="dxa"/>
              <w:right w:w="85" w:type="dxa"/>
            </w:tcMar>
          </w:tcPr>
          <w:p>
            <w:pPr>
              <w:spacing w:after="60" w:before="60"/>
            </w:pPr>
            <w:r>
              <w:rPr>
                <w:b w:val="0"/>
                <w:sz w:val="18"/>
              </w:rPr>
              <w:t>Agent retrieves authorized usable data without a new purchase.</w:t>
            </w:r>
          </w:p>
        </w:tc>
      </w:tr>
      <w:tr>
        <w:trPr>
          <w:cantSplit/>
        </w:trPr>
        <w:tc>
          <w:tcPr>
            <w:tcW w:type="dxa" w:w="720"/>
            <w:vAlign w:val="center"/>
            <w:shd w:fill="FFFFFF"/>
            <w:tcMar>
              <w:top w:w="85" w:type="dxa"/>
              <w:left w:w="85" w:type="dxa"/>
              <w:bottom w:w="85" w:type="dxa"/>
              <w:right w:w="85" w:type="dxa"/>
            </w:tcMar>
          </w:tcPr>
          <w:p>
            <w:pPr>
              <w:spacing w:after="60" w:before="60"/>
            </w:pPr>
            <w:r>
              <w:rPr>
                <w:b w:val="0"/>
                <w:sz w:val="18"/>
              </w:rPr>
              <w:t>6</w:t>
            </w:r>
          </w:p>
        </w:tc>
        <w:tc>
          <w:tcPr>
            <w:tcW w:type="dxa" w:w="3312"/>
            <w:vAlign w:val="center"/>
            <w:shd w:fill="FFFFFF"/>
            <w:tcMar>
              <w:top w:w="85" w:type="dxa"/>
              <w:left w:w="85" w:type="dxa"/>
              <w:bottom w:w="85" w:type="dxa"/>
              <w:right w:w="85" w:type="dxa"/>
            </w:tcMar>
          </w:tcPr>
          <w:p>
            <w:pPr>
              <w:spacing w:after="60" w:before="60"/>
            </w:pPr>
            <w:r>
              <w:rPr>
                <w:b w:val="0"/>
                <w:sz w:val="18"/>
              </w:rPr>
              <w:t>Agents → deliverables → dashboard</w:t>
            </w:r>
          </w:p>
        </w:tc>
        <w:tc>
          <w:tcPr>
            <w:tcW w:type="dxa" w:w="5832"/>
            <w:vAlign w:val="center"/>
            <w:shd w:fill="FFFFFF"/>
            <w:tcMar>
              <w:top w:w="85" w:type="dxa"/>
              <w:left w:w="85" w:type="dxa"/>
              <w:bottom w:w="85" w:type="dxa"/>
              <w:right w:w="85" w:type="dxa"/>
            </w:tcMar>
          </w:tcPr>
          <w:p>
            <w:pPr>
              <w:spacing w:after="60" w:before="60"/>
            </w:pPr>
            <w:r>
              <w:rPr>
                <w:b w:val="0"/>
                <w:sz w:val="18"/>
              </w:rPr>
              <w:t>Both outputs complete; displayed totals match operations.</w:t>
            </w:r>
          </w:p>
        </w:tc>
      </w:tr>
    </w:tbl>
    <w:p/>
    <w:p>
      <w:pPr>
        <w:pStyle w:val="Heading2"/>
      </w:pPr>
      <w:r>
        <w:t>Write recovery</w:t>
      </w:r>
    </w:p>
    <w:p>
      <w:r>
        <w:t>Persist a pending write before sending it. Contract and HCS writes are not atomic. Retry an HCS note independently of payment execution. Use stable IDs and reconciliation to avoid duplicate records and duplicate counter increments. An HCS timestamp establishes ordering; it does not prove the explanation is true.</w:t>
      </w:r>
    </w:p>
    <w:p>
      <w:pPr>
        <w:pStyle w:val="Heading2"/>
      </w:pPr>
      <w:r>
        <w:t>Read recovery</w:t>
      </w:r>
    </w:p>
    <w:p>
      <w:r>
        <w:t>When a purchase is pending or not yet indexed, keep the workflow in a visible waiting state and check authoritative operation status. Do not treat an empty Graph result as permission to buy. Always go through the contract reservation check.</w:t>
      </w:r>
    </w:p>
    <w:p>
      <w:pPr>
        <w:pStyle w:val="Heading2"/>
      </w:pPr>
      <w:r>
        <w:t>Integration ownership</w:t>
      </w:r>
    </w:p>
    <w:p>
      <w:r>
        <w:t>Aditya fixes mappings, query responses and indexing behavior. Kavish fixes contract, payment, HCS and infrastructure behavior. The lead fixes orchestration, result access and UI behavior. Track interface changes explicitly instead of patching around inconsistent fields.</w:t>
      </w:r>
    </w:p>
    <w:p>
      <w:r>
        <w:t>☐  A clean workspace completes one real purchase and two deliverables.</w:t>
      </w:r>
    </w:p>
    <w:p>
      <w:r>
        <w:t>☐  The live Graph record and HCS note can be opened from the evidence trail.</w:t>
      </w:r>
    </w:p>
    <w:p>
      <w:r>
        <w:t>☐  Restarting the orchestrator does not lose the operation or repeat payment.</w:t>
      </w:r>
    </w:p>
    <w:p>
      <w:r>
        <w:br w:type="page"/>
      </w:r>
    </w:p>
    <w:p>
      <w:pPr>
        <w:pStyle w:val="Subtitle"/>
      </w:pPr>
      <w:r>
        <w:t>COMMON  /  TEAM WORKSPACE  /  6</w:t>
      </w:r>
    </w:p>
    <w:p>
      <w:pPr>
        <w:pStyle w:val="Heading1"/>
      </w:pPr>
      <w:r>
        <w:t>Phase 4 verify decisions and recovery</w:t>
      </w:r>
    </w:p>
    <w:p>
      <w:pPr>
        <w:pStyle w:val="Subtitle"/>
      </w:pPr>
      <w:r>
        <w:t>WHEN  Days 7–8     GATE  Repeatable tests and honest measurements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5688"/>
        <w:gridCol w:w="2016"/>
      </w:tblGrid>
      <w:tr>
        <w:trPr>
          <w:cantSplit/>
          <w:tblHeader/>
        </w:trPr>
        <w:tc>
          <w:tcPr>
            <w:tcW w:type="dxa" w:w="2160"/>
            <w:vAlign w:val="center"/>
            <w:shd w:fill="EAEAEA"/>
            <w:tcMar>
              <w:top w:w="85" w:type="dxa"/>
              <w:left w:w="85" w:type="dxa"/>
              <w:bottom w:w="85" w:type="dxa"/>
              <w:right w:w="85" w:type="dxa"/>
            </w:tcMar>
          </w:tcPr>
          <w:p>
            <w:pPr>
              <w:spacing w:after="60" w:before="60"/>
            </w:pPr>
            <w:r>
              <w:rPr>
                <w:b/>
                <w:sz w:val="18"/>
              </w:rPr>
              <w:t>Scenario</w:t>
            </w:r>
          </w:p>
        </w:tc>
        <w:tc>
          <w:tcPr>
            <w:tcW w:type="dxa" w:w="5688"/>
            <w:vAlign w:val="center"/>
            <w:shd w:fill="EAEAEA"/>
            <w:tcMar>
              <w:top w:w="85" w:type="dxa"/>
              <w:left w:w="85" w:type="dxa"/>
              <w:bottom w:w="85" w:type="dxa"/>
              <w:right w:w="85" w:type="dxa"/>
            </w:tcMar>
          </w:tcPr>
          <w:p>
            <w:pPr>
              <w:spacing w:after="60" w:before="60"/>
            </w:pPr>
            <w:r>
              <w:rPr>
                <w:b/>
                <w:sz w:val="18"/>
              </w:rPr>
              <w:t>Expected behavior</w:t>
            </w:r>
          </w:p>
        </w:tc>
        <w:tc>
          <w:tcPr>
            <w:tcW w:type="dxa" w:w="2016"/>
            <w:vAlign w:val="center"/>
            <w:shd w:fill="EAEAEA"/>
            <w:tcMar>
              <w:top w:w="85" w:type="dxa"/>
              <w:left w:w="85" w:type="dxa"/>
              <w:bottom w:w="85" w:type="dxa"/>
              <w:right w:w="85" w:type="dxa"/>
            </w:tcMar>
          </w:tcPr>
          <w:p>
            <w:pPr>
              <w:spacing w:after="60" w:before="60"/>
            </w:pPr>
            <w:r>
              <w:rPr>
                <w:b/>
                <w:sz w:val="18"/>
              </w:rPr>
              <w:t>Owner</w:t>
            </w:r>
          </w:p>
        </w:tc>
      </w:tr>
      <w:tr>
        <w:trPr>
          <w:cantSplit/>
        </w:trPr>
        <w:tc>
          <w:tcPr>
            <w:tcW w:type="dxa" w:w="2160"/>
            <w:vAlign w:val="center"/>
            <w:shd w:fill="FFFFFF"/>
            <w:tcMar>
              <w:top w:w="85" w:type="dxa"/>
              <w:left w:w="85" w:type="dxa"/>
              <w:bottom w:w="85" w:type="dxa"/>
              <w:right w:w="85" w:type="dxa"/>
            </w:tcMar>
          </w:tcPr>
          <w:p>
            <w:pPr>
              <w:spacing w:after="60" w:before="60"/>
            </w:pPr>
            <w:r>
              <w:rPr>
                <w:b w:val="0"/>
                <w:sz w:val="18"/>
              </w:rPr>
              <w:t>Concurrent purchase</w:t>
            </w:r>
          </w:p>
        </w:tc>
        <w:tc>
          <w:tcPr>
            <w:tcW w:type="dxa" w:w="5688"/>
            <w:vAlign w:val="center"/>
            <w:shd w:fill="FFFFFF"/>
            <w:tcMar>
              <w:top w:w="85" w:type="dxa"/>
              <w:left w:w="85" w:type="dxa"/>
              <w:bottom w:w="85" w:type="dxa"/>
              <w:right w:w="85" w:type="dxa"/>
            </w:tcMar>
          </w:tcPr>
          <w:p>
            <w:pPr>
              <w:spacing w:after="60" w:before="60"/>
            </w:pPr>
            <w:r>
              <w:rPr>
                <w:b w:val="0"/>
                <w:sz w:val="18"/>
              </w:rPr>
              <w:t>Only one competing reservation succeeds.</w:t>
            </w:r>
          </w:p>
        </w:tc>
        <w:tc>
          <w:tcPr>
            <w:tcW w:type="dxa" w:w="2016"/>
            <w:vAlign w:val="center"/>
            <w:shd w:fill="FFFFFF"/>
            <w:tcMar>
              <w:top w:w="85" w:type="dxa"/>
              <w:left w:w="85" w:type="dxa"/>
              <w:bottom w:w="85" w:type="dxa"/>
              <w:right w:w="85" w:type="dxa"/>
            </w:tcMar>
          </w:tcPr>
          <w:p>
            <w:pPr>
              <w:spacing w:after="60" w:before="60"/>
            </w:pPr>
            <w:r>
              <w:rPr>
                <w:b w:val="0"/>
                <w:sz w:val="18"/>
              </w:rPr>
              <w:t>Kavish</w:t>
            </w:r>
          </w:p>
        </w:tc>
      </w:tr>
      <w:tr>
        <w:trPr>
          <w:cantSplit/>
        </w:trPr>
        <w:tc>
          <w:tcPr>
            <w:tcW w:type="dxa" w:w="2160"/>
            <w:vAlign w:val="center"/>
            <w:shd w:fill="FFFFFF"/>
            <w:tcMar>
              <w:top w:w="85" w:type="dxa"/>
              <w:left w:w="85" w:type="dxa"/>
              <w:bottom w:w="85" w:type="dxa"/>
              <w:right w:w="85" w:type="dxa"/>
            </w:tcMar>
          </w:tcPr>
          <w:p>
            <w:pPr>
              <w:spacing w:after="60" w:before="60"/>
            </w:pPr>
            <w:r>
              <w:rPr>
                <w:b w:val="0"/>
                <w:sz w:val="18"/>
              </w:rPr>
              <w:t>Repeated execution</w:t>
            </w:r>
          </w:p>
        </w:tc>
        <w:tc>
          <w:tcPr>
            <w:tcW w:type="dxa" w:w="5688"/>
            <w:vAlign w:val="center"/>
            <w:shd w:fill="FFFFFF"/>
            <w:tcMar>
              <w:top w:w="85" w:type="dxa"/>
              <w:left w:w="85" w:type="dxa"/>
              <w:bottom w:w="85" w:type="dxa"/>
              <w:right w:w="85" w:type="dxa"/>
            </w:tcMar>
          </w:tcPr>
          <w:p>
            <w:pPr>
              <w:spacing w:after="60" w:before="60"/>
            </w:pPr>
            <w:r>
              <w:rPr>
                <w:b w:val="0"/>
                <w:sz w:val="18"/>
              </w:rPr>
              <w:t>Stable operation ID prevents another payment.</w:t>
            </w:r>
          </w:p>
        </w:tc>
        <w:tc>
          <w:tcPr>
            <w:tcW w:type="dxa" w:w="2016"/>
            <w:vAlign w:val="center"/>
            <w:shd w:fill="FFFFFF"/>
            <w:tcMar>
              <w:top w:w="85" w:type="dxa"/>
              <w:left w:w="85" w:type="dxa"/>
              <w:bottom w:w="85" w:type="dxa"/>
              <w:right w:w="85" w:type="dxa"/>
            </w:tcMar>
          </w:tcPr>
          <w:p>
            <w:pPr>
              <w:spacing w:after="60" w:before="60"/>
            </w:pPr>
            <w:r>
              <w:rPr>
                <w:b w:val="0"/>
                <w:sz w:val="18"/>
              </w:rPr>
              <w:t>Kavish + lead</w:t>
            </w:r>
          </w:p>
        </w:tc>
      </w:tr>
      <w:tr>
        <w:trPr>
          <w:cantSplit/>
        </w:trPr>
        <w:tc>
          <w:tcPr>
            <w:tcW w:type="dxa" w:w="2160"/>
            <w:vAlign w:val="center"/>
            <w:shd w:fill="FFFFFF"/>
            <w:tcMar>
              <w:top w:w="85" w:type="dxa"/>
              <w:left w:w="85" w:type="dxa"/>
              <w:bottom w:w="85" w:type="dxa"/>
              <w:right w:w="85" w:type="dxa"/>
            </w:tcMar>
          </w:tcPr>
          <w:p>
            <w:pPr>
              <w:spacing w:after="60" w:before="60"/>
            </w:pPr>
            <w:r>
              <w:rPr>
                <w:b w:val="0"/>
                <w:sz w:val="18"/>
              </w:rPr>
              <w:t>Index delay</w:t>
            </w:r>
          </w:p>
        </w:tc>
        <w:tc>
          <w:tcPr>
            <w:tcW w:type="dxa" w:w="5688"/>
            <w:vAlign w:val="center"/>
            <w:shd w:fill="FFFFFF"/>
            <w:tcMar>
              <w:top w:w="85" w:type="dxa"/>
              <w:left w:w="85" w:type="dxa"/>
              <w:bottom w:w="85" w:type="dxa"/>
              <w:right w:w="85" w:type="dxa"/>
            </w:tcMar>
          </w:tcPr>
          <w:p>
            <w:pPr>
              <w:spacing w:after="60" w:before="60"/>
            </w:pPr>
            <w:r>
              <w:rPr>
                <w:b w:val="0"/>
                <w:sz w:val="18"/>
              </w:rPr>
              <w:t>Contract still prevents duplicate spending.</w:t>
            </w:r>
          </w:p>
        </w:tc>
        <w:tc>
          <w:tcPr>
            <w:tcW w:type="dxa" w:w="2016"/>
            <w:vAlign w:val="center"/>
            <w:shd w:fill="FFFFFF"/>
            <w:tcMar>
              <w:top w:w="85" w:type="dxa"/>
              <w:left w:w="85" w:type="dxa"/>
              <w:bottom w:w="85" w:type="dxa"/>
              <w:right w:w="85" w:type="dxa"/>
            </w:tcMar>
          </w:tcPr>
          <w:p>
            <w:pPr>
              <w:spacing w:after="60" w:before="60"/>
            </w:pPr>
            <w:r>
              <w:rPr>
                <w:b w:val="0"/>
                <w:sz w:val="18"/>
              </w:rPr>
              <w:t>Aditya + lead</w:t>
            </w:r>
          </w:p>
        </w:tc>
      </w:tr>
      <w:tr>
        <w:trPr>
          <w:cantSplit/>
        </w:trPr>
        <w:tc>
          <w:tcPr>
            <w:tcW w:type="dxa" w:w="2160"/>
            <w:vAlign w:val="center"/>
            <w:shd w:fill="FFFFFF"/>
            <w:tcMar>
              <w:top w:w="85" w:type="dxa"/>
              <w:left w:w="85" w:type="dxa"/>
              <w:bottom w:w="85" w:type="dxa"/>
              <w:right w:w="85" w:type="dxa"/>
            </w:tcMar>
          </w:tcPr>
          <w:p>
            <w:pPr>
              <w:spacing w:after="60" w:before="60"/>
            </w:pPr>
            <w:r>
              <w:rPr>
                <w:b w:val="0"/>
                <w:sz w:val="18"/>
              </w:rPr>
              <w:t>Stale result</w:t>
            </w:r>
          </w:p>
        </w:tc>
        <w:tc>
          <w:tcPr>
            <w:tcW w:type="dxa" w:w="5688"/>
            <w:vAlign w:val="center"/>
            <w:shd w:fill="FFFFFF"/>
            <w:tcMar>
              <w:top w:w="85" w:type="dxa"/>
              <w:left w:w="85" w:type="dxa"/>
              <w:bottom w:w="85" w:type="dxa"/>
              <w:right w:w="85" w:type="dxa"/>
            </w:tcMar>
          </w:tcPr>
          <w:p>
            <w:pPr>
              <w:spacing w:after="60" w:before="60"/>
            </w:pPr>
            <w:r>
              <w:rPr>
                <w:b w:val="0"/>
                <w:sz w:val="18"/>
              </w:rPr>
              <w:t>Reject reuse and follow controlled acquisition.</w:t>
            </w:r>
          </w:p>
        </w:tc>
        <w:tc>
          <w:tcPr>
            <w:tcW w:type="dxa" w:w="2016"/>
            <w:vAlign w:val="center"/>
            <w:shd w:fill="FFFFFF"/>
            <w:tcMar>
              <w:top w:w="85" w:type="dxa"/>
              <w:left w:w="85" w:type="dxa"/>
              <w:bottom w:w="85" w:type="dxa"/>
              <w:right w:w="85" w:type="dxa"/>
            </w:tcMar>
          </w:tcPr>
          <w:p>
            <w:pPr>
              <w:spacing w:after="60" w:before="60"/>
            </w:pPr>
            <w:r>
              <w:rPr>
                <w:b w:val="0"/>
                <w:sz w:val="18"/>
              </w:rPr>
              <w:t>Lead</w:t>
            </w:r>
          </w:p>
        </w:tc>
      </w:tr>
      <w:tr>
        <w:trPr>
          <w:cantSplit/>
        </w:trPr>
        <w:tc>
          <w:tcPr>
            <w:tcW w:type="dxa" w:w="2160"/>
            <w:vAlign w:val="center"/>
            <w:shd w:fill="FFFFFF"/>
            <w:tcMar>
              <w:top w:w="85" w:type="dxa"/>
              <w:left w:w="85" w:type="dxa"/>
              <w:bottom w:w="85" w:type="dxa"/>
              <w:right w:w="85" w:type="dxa"/>
            </w:tcMar>
          </w:tcPr>
          <w:p>
            <w:pPr>
              <w:spacing w:after="60" w:before="60"/>
            </w:pPr>
            <w:r>
              <w:rPr>
                <w:b w:val="0"/>
                <w:sz w:val="18"/>
              </w:rPr>
              <w:t>Unsuitable prior result</w:t>
            </w:r>
          </w:p>
        </w:tc>
        <w:tc>
          <w:tcPr>
            <w:tcW w:type="dxa" w:w="5688"/>
            <w:vAlign w:val="center"/>
            <w:shd w:fill="FFFFFF"/>
            <w:tcMar>
              <w:top w:w="85" w:type="dxa"/>
              <w:left w:w="85" w:type="dxa"/>
              <w:bottom w:w="85" w:type="dxa"/>
              <w:right w:w="85" w:type="dxa"/>
            </w:tcMar>
          </w:tcPr>
          <w:p>
            <w:pPr>
              <w:spacing w:after="60" w:before="60"/>
            </w:pPr>
            <w:r>
              <w:rPr>
                <w:b w:val="0"/>
                <w:sz w:val="18"/>
              </w:rPr>
              <w:t>Use capability outcome to choose appropriately.</w:t>
            </w:r>
          </w:p>
        </w:tc>
        <w:tc>
          <w:tcPr>
            <w:tcW w:type="dxa" w:w="2016"/>
            <w:vAlign w:val="center"/>
            <w:shd w:fill="FFFFFF"/>
            <w:tcMar>
              <w:top w:w="85" w:type="dxa"/>
              <w:left w:w="85" w:type="dxa"/>
              <w:bottom w:w="85" w:type="dxa"/>
              <w:right w:w="85" w:type="dxa"/>
            </w:tcMar>
          </w:tcPr>
          <w:p>
            <w:pPr>
              <w:spacing w:after="60" w:before="60"/>
            </w:pPr>
            <w:r>
              <w:rPr>
                <w:b w:val="0"/>
                <w:sz w:val="18"/>
              </w:rPr>
              <w:t>Lead</w:t>
            </w:r>
          </w:p>
        </w:tc>
      </w:tr>
      <w:tr>
        <w:trPr>
          <w:cantSplit/>
        </w:trPr>
        <w:tc>
          <w:tcPr>
            <w:tcW w:type="dxa" w:w="2160"/>
            <w:vAlign w:val="center"/>
            <w:shd w:fill="FFFFFF"/>
            <w:tcMar>
              <w:top w:w="85" w:type="dxa"/>
              <w:left w:w="85" w:type="dxa"/>
              <w:bottom w:w="85" w:type="dxa"/>
              <w:right w:w="85" w:type="dxa"/>
            </w:tcMar>
          </w:tcPr>
          <w:p>
            <w:pPr>
              <w:spacing w:after="60" w:before="60"/>
            </w:pPr>
            <w:r>
              <w:rPr>
                <w:b w:val="0"/>
                <w:sz w:val="18"/>
              </w:rPr>
              <w:t>Crash before payment</w:t>
            </w:r>
          </w:p>
        </w:tc>
        <w:tc>
          <w:tcPr>
            <w:tcW w:type="dxa" w:w="5688"/>
            <w:vAlign w:val="center"/>
            <w:shd w:fill="FFFFFF"/>
            <w:tcMar>
              <w:top w:w="85" w:type="dxa"/>
              <w:left w:w="85" w:type="dxa"/>
              <w:bottom w:w="85" w:type="dxa"/>
              <w:right w:w="85" w:type="dxa"/>
            </w:tcMar>
          </w:tcPr>
          <w:p>
            <w:pPr>
              <w:spacing w:after="60" w:before="60"/>
            </w:pPr>
            <w:r>
              <w:rPr>
                <w:b w:val="0"/>
                <w:sz w:val="18"/>
              </w:rPr>
              <w:t>Safely release or expire unpaid reservation.</w:t>
            </w:r>
          </w:p>
        </w:tc>
        <w:tc>
          <w:tcPr>
            <w:tcW w:type="dxa" w:w="2016"/>
            <w:vAlign w:val="center"/>
            <w:shd w:fill="FFFFFF"/>
            <w:tcMar>
              <w:top w:w="85" w:type="dxa"/>
              <w:left w:w="85" w:type="dxa"/>
              <w:bottom w:w="85" w:type="dxa"/>
              <w:right w:w="85" w:type="dxa"/>
            </w:tcMar>
          </w:tcPr>
          <w:p>
            <w:pPr>
              <w:spacing w:after="60" w:before="60"/>
            </w:pPr>
            <w:r>
              <w:rPr>
                <w:b w:val="0"/>
                <w:sz w:val="18"/>
              </w:rPr>
              <w:t>Kavish + lead</w:t>
            </w:r>
          </w:p>
        </w:tc>
      </w:tr>
      <w:tr>
        <w:trPr>
          <w:cantSplit/>
        </w:trPr>
        <w:tc>
          <w:tcPr>
            <w:tcW w:type="dxa" w:w="2160"/>
            <w:vAlign w:val="center"/>
            <w:shd w:fill="FFFFFF"/>
            <w:tcMar>
              <w:top w:w="85" w:type="dxa"/>
              <w:left w:w="85" w:type="dxa"/>
              <w:bottom w:w="85" w:type="dxa"/>
              <w:right w:w="85" w:type="dxa"/>
            </w:tcMar>
          </w:tcPr>
          <w:p>
            <w:pPr>
              <w:spacing w:after="60" w:before="60"/>
            </w:pPr>
            <w:r>
              <w:rPr>
                <w:b w:val="0"/>
                <w:sz w:val="18"/>
              </w:rPr>
              <w:t>Settlement unknown</w:t>
            </w:r>
          </w:p>
        </w:tc>
        <w:tc>
          <w:tcPr>
            <w:tcW w:type="dxa" w:w="5688"/>
            <w:vAlign w:val="center"/>
            <w:shd w:fill="FFFFFF"/>
            <w:tcMar>
              <w:top w:w="85" w:type="dxa"/>
              <w:left w:w="85" w:type="dxa"/>
              <w:bottom w:w="85" w:type="dxa"/>
              <w:right w:w="85" w:type="dxa"/>
            </w:tcMar>
          </w:tcPr>
          <w:p>
            <w:pPr>
              <w:spacing w:after="60" w:before="60"/>
            </w:pPr>
            <w:r>
              <w:rPr>
                <w:b w:val="0"/>
                <w:sz w:val="18"/>
              </w:rPr>
              <w:t>Reconcile before retry or budget release.</w:t>
            </w:r>
          </w:p>
        </w:tc>
        <w:tc>
          <w:tcPr>
            <w:tcW w:type="dxa" w:w="2016"/>
            <w:vAlign w:val="center"/>
            <w:shd w:fill="FFFFFF"/>
            <w:tcMar>
              <w:top w:w="85" w:type="dxa"/>
              <w:left w:w="85" w:type="dxa"/>
              <w:bottom w:w="85" w:type="dxa"/>
              <w:right w:w="85" w:type="dxa"/>
            </w:tcMar>
          </w:tcPr>
          <w:p>
            <w:pPr>
              <w:spacing w:after="60" w:before="60"/>
            </w:pPr>
            <w:r>
              <w:rPr>
                <w:b w:val="0"/>
                <w:sz w:val="18"/>
              </w:rPr>
              <w:t>Kavish</w:t>
            </w:r>
          </w:p>
        </w:tc>
      </w:tr>
      <w:tr>
        <w:trPr>
          <w:cantSplit/>
        </w:trPr>
        <w:tc>
          <w:tcPr>
            <w:tcW w:type="dxa" w:w="2160"/>
            <w:vAlign w:val="center"/>
            <w:shd w:fill="FFFFFF"/>
            <w:tcMar>
              <w:top w:w="85" w:type="dxa"/>
              <w:left w:w="85" w:type="dxa"/>
              <w:bottom w:w="85" w:type="dxa"/>
              <w:right w:w="85" w:type="dxa"/>
            </w:tcMar>
          </w:tcPr>
          <w:p>
            <w:pPr>
              <w:spacing w:after="60" w:before="60"/>
            </w:pPr>
            <w:r>
              <w:rPr>
                <w:b w:val="0"/>
                <w:sz w:val="18"/>
              </w:rPr>
              <w:t>Paid delivery failure</w:t>
            </w:r>
          </w:p>
        </w:tc>
        <w:tc>
          <w:tcPr>
            <w:tcW w:type="dxa" w:w="5688"/>
            <w:vAlign w:val="center"/>
            <w:shd w:fill="FFFFFF"/>
            <w:tcMar>
              <w:top w:w="85" w:type="dxa"/>
              <w:left w:w="85" w:type="dxa"/>
              <w:bottom w:w="85" w:type="dxa"/>
              <w:right w:w="85" w:type="dxa"/>
            </w:tcMar>
          </w:tcPr>
          <w:p>
            <w:pPr>
              <w:spacing w:after="60" w:before="60"/>
            </w:pPr>
            <w:r>
              <w:rPr>
                <w:b w:val="0"/>
                <w:sz w:val="18"/>
              </w:rPr>
              <w:t>Record failure without blind repurchase.</w:t>
            </w:r>
          </w:p>
        </w:tc>
        <w:tc>
          <w:tcPr>
            <w:tcW w:type="dxa" w:w="2016"/>
            <w:vAlign w:val="center"/>
            <w:shd w:fill="FFFFFF"/>
            <w:tcMar>
              <w:top w:w="85" w:type="dxa"/>
              <w:left w:w="85" w:type="dxa"/>
              <w:bottom w:w="85" w:type="dxa"/>
              <w:right w:w="85" w:type="dxa"/>
            </w:tcMar>
          </w:tcPr>
          <w:p>
            <w:pPr>
              <w:spacing w:after="60" w:before="60"/>
            </w:pPr>
            <w:r>
              <w:rPr>
                <w:b w:val="0"/>
                <w:sz w:val="18"/>
              </w:rPr>
              <w:t>Kavish + lead</w:t>
            </w:r>
          </w:p>
        </w:tc>
      </w:tr>
      <w:tr>
        <w:trPr>
          <w:cantSplit/>
        </w:trPr>
        <w:tc>
          <w:tcPr>
            <w:tcW w:type="dxa" w:w="2160"/>
            <w:vAlign w:val="center"/>
            <w:shd w:fill="FFFFFF"/>
            <w:tcMar>
              <w:top w:w="85" w:type="dxa"/>
              <w:left w:w="85" w:type="dxa"/>
              <w:bottom w:w="85" w:type="dxa"/>
              <w:right w:w="85" w:type="dxa"/>
            </w:tcMar>
          </w:tcPr>
          <w:p>
            <w:pPr>
              <w:spacing w:after="60" w:before="60"/>
            </w:pPr>
            <w:r>
              <w:rPr>
                <w:b w:val="0"/>
                <w:sz w:val="18"/>
              </w:rPr>
              <w:t>HCS failure</w:t>
            </w:r>
          </w:p>
        </w:tc>
        <w:tc>
          <w:tcPr>
            <w:tcW w:type="dxa" w:w="5688"/>
            <w:vAlign w:val="center"/>
            <w:shd w:fill="FFFFFF"/>
            <w:tcMar>
              <w:top w:w="85" w:type="dxa"/>
              <w:left w:w="85" w:type="dxa"/>
              <w:bottom w:w="85" w:type="dxa"/>
              <w:right w:w="85" w:type="dxa"/>
            </w:tcMar>
          </w:tcPr>
          <w:p>
            <w:pPr>
              <w:spacing w:after="60" w:before="60"/>
            </w:pPr>
            <w:r>
              <w:rPr>
                <w:b w:val="0"/>
                <w:sz w:val="18"/>
              </w:rPr>
              <w:t>Retry note independently from payment.</w:t>
            </w:r>
          </w:p>
        </w:tc>
        <w:tc>
          <w:tcPr>
            <w:tcW w:type="dxa" w:w="2016"/>
            <w:vAlign w:val="center"/>
            <w:shd w:fill="FFFFFF"/>
            <w:tcMar>
              <w:top w:w="85" w:type="dxa"/>
              <w:left w:w="85" w:type="dxa"/>
              <w:bottom w:w="85" w:type="dxa"/>
              <w:right w:w="85" w:type="dxa"/>
            </w:tcMar>
          </w:tcPr>
          <w:p>
            <w:pPr>
              <w:spacing w:after="60" w:before="60"/>
            </w:pPr>
            <w:r>
              <w:rPr>
                <w:b w:val="0"/>
                <w:sz w:val="18"/>
              </w:rPr>
              <w:t>Kavish + lead</w:t>
            </w:r>
          </w:p>
        </w:tc>
      </w:tr>
      <w:tr>
        <w:trPr>
          <w:cantSplit/>
        </w:trPr>
        <w:tc>
          <w:tcPr>
            <w:tcW w:type="dxa" w:w="2160"/>
            <w:vAlign w:val="center"/>
            <w:shd w:fill="FFFFFF"/>
            <w:tcMar>
              <w:top w:w="85" w:type="dxa"/>
              <w:left w:w="85" w:type="dxa"/>
              <w:bottom w:w="85" w:type="dxa"/>
              <w:right w:w="85" w:type="dxa"/>
            </w:tcMar>
          </w:tcPr>
          <w:p>
            <w:pPr>
              <w:spacing w:after="60" w:before="60"/>
            </w:pPr>
            <w:r>
              <w:rPr>
                <w:b w:val="0"/>
                <w:sz w:val="18"/>
              </w:rPr>
              <w:t>Policy change</w:t>
            </w:r>
          </w:p>
        </w:tc>
        <w:tc>
          <w:tcPr>
            <w:tcW w:type="dxa" w:w="5688"/>
            <w:vAlign w:val="center"/>
            <w:shd w:fill="FFFFFF"/>
            <w:tcMar>
              <w:top w:w="85" w:type="dxa"/>
              <w:left w:w="85" w:type="dxa"/>
              <w:bottom w:w="85" w:type="dxa"/>
              <w:right w:w="85" w:type="dxa"/>
            </w:tcMar>
          </w:tcPr>
          <w:p>
            <w:pPr>
              <w:spacing w:after="60" w:before="60"/>
            </w:pPr>
            <w:r>
              <w:rPr>
                <w:b w:val="0"/>
                <w:sz w:val="18"/>
              </w:rPr>
              <w:t>Next spend obeys current contract policy.</w:t>
            </w:r>
          </w:p>
        </w:tc>
        <w:tc>
          <w:tcPr>
            <w:tcW w:type="dxa" w:w="2016"/>
            <w:vAlign w:val="center"/>
            <w:shd w:fill="FFFFFF"/>
            <w:tcMar>
              <w:top w:w="85" w:type="dxa"/>
              <w:left w:w="85" w:type="dxa"/>
              <w:bottom w:w="85" w:type="dxa"/>
              <w:right w:w="85" w:type="dxa"/>
            </w:tcMar>
          </w:tcPr>
          <w:p>
            <w:pPr>
              <w:spacing w:after="60" w:before="60"/>
            </w:pPr>
            <w:r>
              <w:rPr>
                <w:b w:val="0"/>
                <w:sz w:val="18"/>
              </w:rPr>
              <w:t>Kavish</w:t>
            </w:r>
          </w:p>
        </w:tc>
      </w:tr>
    </w:tbl>
    <w:p/>
    <w:p>
      <w:pPr>
        <w:pStyle w:val="Heading2"/>
      </w:pPr>
      <w:r>
        <w:t>Measurement definitions</w:t>
      </w:r>
    </w:p>
    <w:p>
      <w:r>
        <w:t>Reuse rate = successful reuses ÷ (successful reuses + successful new acquisitions), per distinct resource need. Exclude failed and denied requests from this denominator and report them separately. Show N/A when the denominator is zero.</w:t>
      </w:r>
    </w:p>
    <w:p>
      <w:r>
        <w:t>Estimated avoided purchase cost uses observed quotes for resources actually reused. Report actual purchase spend and coordination fees separately. Claim net savings only when the relevant costs are measured.</w:t>
      </w:r>
    </w:p>
    <w:p>
      <w:r>
        <w:t>Use the same task, inputs and completion criteria with Common enabled and disabled. Record runtime and deliverable quality so cheaper execution is not confused with incomplete work.</w:t>
      </w:r>
    </w:p>
    <w:p>
      <w:r>
        <w:t>☐  All money-safety cases pass with evidence linked to the relevant task.</w:t>
      </w:r>
    </w:p>
    <w:p>
      <w:r>
        <w:t>☐  Successful reuse means the result contributed to a completed deliverable.</w:t>
      </w:r>
    </w:p>
    <w:p>
      <w:r>
        <w:t>☐  The benchmark can be rerun from a clean workspace.</w:t>
      </w:r>
    </w:p>
    <w:p>
      <w:r>
        <w:br w:type="page"/>
      </w:r>
    </w:p>
    <w:p>
      <w:pPr>
        <w:pStyle w:val="Subtitle"/>
      </w:pPr>
      <w:r>
        <w:t>COMMON  /  TEAM WORKSPACE  /  7</w:t>
      </w:r>
    </w:p>
    <w:p>
      <w:pPr>
        <w:pStyle w:val="Heading1"/>
      </w:pPr>
      <w:r>
        <w:t>Team task and blocker trackers</w:t>
      </w:r>
    </w:p>
    <w:p>
      <w:r>
        <w:t>Use this page as an editable project board. Status values: Not started, In progress, Review, Done, Blocked. Mark Done only when the acceptance evidence exists.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
        <w:gridCol w:w="4205"/>
        <w:gridCol w:w="1440"/>
        <w:gridCol w:w="1008"/>
        <w:gridCol w:w="2520"/>
      </w:tblGrid>
      <w:tr>
        <w:trPr>
          <w:cantSplit/>
          <w:tblHeader/>
        </w:trPr>
        <w:tc>
          <w:tcPr>
            <w:tcW w:type="dxa" w:w="691"/>
            <w:vAlign w:val="center"/>
            <w:shd w:fill="EAEAEA"/>
            <w:tcMar>
              <w:top w:w="85" w:type="dxa"/>
              <w:left w:w="85" w:type="dxa"/>
              <w:bottom w:w="85" w:type="dxa"/>
              <w:right w:w="85" w:type="dxa"/>
            </w:tcMar>
          </w:tcPr>
          <w:p>
            <w:pPr>
              <w:spacing w:after="60" w:before="60"/>
            </w:pPr>
            <w:r>
              <w:rPr>
                <w:b/>
                <w:sz w:val="18"/>
              </w:rPr>
              <w:t>ID</w:t>
            </w:r>
          </w:p>
        </w:tc>
        <w:tc>
          <w:tcPr>
            <w:tcW w:type="dxa" w:w="4205"/>
            <w:vAlign w:val="center"/>
            <w:shd w:fill="EAEAEA"/>
            <w:tcMar>
              <w:top w:w="85" w:type="dxa"/>
              <w:left w:w="85" w:type="dxa"/>
              <w:bottom w:w="85" w:type="dxa"/>
              <w:right w:w="85" w:type="dxa"/>
            </w:tcMar>
          </w:tcPr>
          <w:p>
            <w:pPr>
              <w:spacing w:after="60" w:before="60"/>
            </w:pPr>
            <w:r>
              <w:rPr>
                <w:b/>
                <w:sz w:val="18"/>
              </w:rPr>
              <w:t>Task</w:t>
            </w:r>
          </w:p>
        </w:tc>
        <w:tc>
          <w:tcPr>
            <w:tcW w:type="dxa" w:w="1440"/>
            <w:vAlign w:val="center"/>
            <w:shd w:fill="EAEAEA"/>
            <w:tcMar>
              <w:top w:w="85" w:type="dxa"/>
              <w:left w:w="85" w:type="dxa"/>
              <w:bottom w:w="85" w:type="dxa"/>
              <w:right w:w="85" w:type="dxa"/>
            </w:tcMar>
          </w:tcPr>
          <w:p>
            <w:pPr>
              <w:spacing w:after="60" w:before="60"/>
            </w:pPr>
            <w:r>
              <w:rPr>
                <w:b/>
                <w:sz w:val="18"/>
              </w:rPr>
              <w:t>Owner</w:t>
            </w:r>
          </w:p>
        </w:tc>
        <w:tc>
          <w:tcPr>
            <w:tcW w:type="dxa" w:w="1008"/>
            <w:vAlign w:val="center"/>
            <w:shd w:fill="EAEAEA"/>
            <w:tcMar>
              <w:top w:w="85" w:type="dxa"/>
              <w:left w:w="85" w:type="dxa"/>
              <w:bottom w:w="85" w:type="dxa"/>
              <w:right w:w="85" w:type="dxa"/>
            </w:tcMar>
          </w:tcPr>
          <w:p>
            <w:pPr>
              <w:spacing w:after="60" w:before="60"/>
            </w:pPr>
            <w:r>
              <w:rPr>
                <w:b/>
                <w:sz w:val="18"/>
              </w:rPr>
              <w:t>Due</w:t>
            </w:r>
          </w:p>
        </w:tc>
        <w:tc>
          <w:tcPr>
            <w:tcW w:type="dxa" w:w="2520"/>
            <w:vAlign w:val="center"/>
            <w:shd w:fill="EAEAEA"/>
            <w:tcMar>
              <w:top w:w="85" w:type="dxa"/>
              <w:left w:w="85" w:type="dxa"/>
              <w:bottom w:w="85" w:type="dxa"/>
              <w:right w:w="85" w:type="dxa"/>
            </w:tcMar>
          </w:tcPr>
          <w:p>
            <w:pPr>
              <w:spacing w:after="60" w:before="60"/>
            </w:pPr>
            <w:r>
              <w:rPr>
                <w:b/>
                <w:sz w:val="18"/>
              </w:rPr>
              <w:t>Status</w:t>
            </w:r>
          </w:p>
        </w:tc>
      </w:tr>
      <w:tr>
        <w:trPr>
          <w:cantSplit/>
        </w:trPr>
        <w:tc>
          <w:tcPr>
            <w:tcW w:type="dxa" w:w="691"/>
            <w:vAlign w:val="center"/>
            <w:shd w:fill="FFFFFF"/>
            <w:tcMar>
              <w:top w:w="85" w:type="dxa"/>
              <w:left w:w="85" w:type="dxa"/>
              <w:bottom w:w="85" w:type="dxa"/>
              <w:right w:w="85" w:type="dxa"/>
            </w:tcMar>
          </w:tcPr>
          <w:p>
            <w:pPr>
              <w:spacing w:after="60" w:before="60"/>
            </w:pPr>
            <w:r>
              <w:rPr>
                <w:b w:val="0"/>
                <w:sz w:val="18"/>
              </w:rPr>
              <w:t>C01</w:t>
            </w:r>
          </w:p>
        </w:tc>
        <w:tc>
          <w:tcPr>
            <w:tcW w:type="dxa" w:w="4205"/>
            <w:vAlign w:val="center"/>
            <w:shd w:fill="FFFFFF"/>
            <w:tcMar>
              <w:top w:w="85" w:type="dxa"/>
              <w:left w:w="85" w:type="dxa"/>
              <w:bottom w:w="85" w:type="dxa"/>
              <w:right w:w="85" w:type="dxa"/>
            </w:tcMar>
          </w:tcPr>
          <w:p>
            <w:pPr>
              <w:spacing w:after="60" w:before="60"/>
            </w:pPr>
            <w:r>
              <w:rPr>
                <w:b w:val="0"/>
                <w:sz w:val="18"/>
              </w:rPr>
              <w:t>Types, ABI and fixtures frozen</w:t>
            </w:r>
          </w:p>
        </w:tc>
        <w:tc>
          <w:tcPr>
            <w:tcW w:type="dxa" w:w="1440"/>
            <w:vAlign w:val="center"/>
            <w:shd w:fill="FFFFFF"/>
            <w:tcMar>
              <w:top w:w="85" w:type="dxa"/>
              <w:left w:w="85" w:type="dxa"/>
              <w:bottom w:w="85" w:type="dxa"/>
              <w:right w:w="85" w:type="dxa"/>
            </w:tcMar>
          </w:tcPr>
          <w:p>
            <w:pPr>
              <w:spacing w:after="60" w:before="60"/>
            </w:pPr>
            <w:r>
              <w:rPr>
                <w:b w:val="0"/>
                <w:sz w:val="18"/>
              </w:rPr>
              <w:t>Lead</w:t>
            </w:r>
          </w:p>
        </w:tc>
        <w:tc>
          <w:tcPr>
            <w:tcW w:type="dxa" w:w="1008"/>
            <w:vAlign w:val="center"/>
            <w:shd w:fill="FFFFFF"/>
            <w:tcMar>
              <w:top w:w="85" w:type="dxa"/>
              <w:left w:w="85" w:type="dxa"/>
              <w:bottom w:w="85" w:type="dxa"/>
              <w:right w:w="85" w:type="dxa"/>
            </w:tcMar>
          </w:tcPr>
          <w:p>
            <w:pPr>
              <w:spacing w:after="60" w:before="60"/>
            </w:pPr>
            <w:r>
              <w:rPr>
                <w:b w:val="0"/>
                <w:sz w:val="18"/>
              </w:rPr>
              <w:t>Day 1</w:t>
            </w:r>
          </w:p>
        </w:tc>
        <w:tc>
          <w:tcPr>
            <w:tcW w:type="dxa" w:w="2520"/>
            <w:vAlign w:val="center"/>
            <w:shd w:fill="FFFFFF"/>
            <w:tcMar>
              <w:top w:w="85" w:type="dxa"/>
              <w:left w:w="85" w:type="dxa"/>
              <w:bottom w:w="85" w:type="dxa"/>
              <w:right w:w="85" w:type="dxa"/>
            </w:tcMar>
          </w:tcPr>
          <w:p>
            <w:pPr>
              <w:spacing w:after="60" w:before="60"/>
            </w:pPr>
            <w:r>
              <w:rPr>
                <w:b w:val="0"/>
                <w:sz w:val="18"/>
              </w:rPr>
              <w:t>Not started</w:t>
            </w:r>
          </w:p>
        </w:tc>
      </w:tr>
      <w:tr>
        <w:trPr>
          <w:cantSplit/>
        </w:trPr>
        <w:tc>
          <w:tcPr>
            <w:tcW w:type="dxa" w:w="691"/>
            <w:vAlign w:val="center"/>
            <w:shd w:fill="FFFFFF"/>
            <w:tcMar>
              <w:top w:w="85" w:type="dxa"/>
              <w:left w:w="85" w:type="dxa"/>
              <w:bottom w:w="85" w:type="dxa"/>
              <w:right w:w="85" w:type="dxa"/>
            </w:tcMar>
          </w:tcPr>
          <w:p>
            <w:pPr>
              <w:spacing w:after="60" w:before="60"/>
            </w:pPr>
            <w:r>
              <w:rPr>
                <w:b w:val="0"/>
                <w:sz w:val="18"/>
              </w:rPr>
              <w:t>G01</w:t>
            </w:r>
          </w:p>
        </w:tc>
        <w:tc>
          <w:tcPr>
            <w:tcW w:type="dxa" w:w="4205"/>
            <w:vAlign w:val="center"/>
            <w:shd w:fill="FFFFFF"/>
            <w:tcMar>
              <w:top w:w="85" w:type="dxa"/>
              <w:left w:w="85" w:type="dxa"/>
              <w:bottom w:w="85" w:type="dxa"/>
              <w:right w:w="85" w:type="dxa"/>
            </w:tcMar>
          </w:tcPr>
          <w:p>
            <w:pPr>
              <w:spacing w:after="60" w:before="60"/>
            </w:pPr>
            <w:r>
              <w:rPr>
                <w:b w:val="0"/>
                <w:sz w:val="18"/>
              </w:rPr>
              <w:t>Live indexing feasibility</w:t>
            </w:r>
          </w:p>
        </w:tc>
        <w:tc>
          <w:tcPr>
            <w:tcW w:type="dxa" w:w="1440"/>
            <w:vAlign w:val="center"/>
            <w:shd w:fill="FFFFFF"/>
            <w:tcMar>
              <w:top w:w="85" w:type="dxa"/>
              <w:left w:w="85" w:type="dxa"/>
              <w:bottom w:w="85" w:type="dxa"/>
              <w:right w:w="85" w:type="dxa"/>
            </w:tcMar>
          </w:tcPr>
          <w:p>
            <w:pPr>
              <w:spacing w:after="60" w:before="60"/>
            </w:pPr>
            <w:r>
              <w:rPr>
                <w:b w:val="0"/>
                <w:sz w:val="18"/>
              </w:rPr>
              <w:t>Aditya</w:t>
            </w:r>
          </w:p>
        </w:tc>
        <w:tc>
          <w:tcPr>
            <w:tcW w:type="dxa" w:w="1008"/>
            <w:vAlign w:val="center"/>
            <w:shd w:fill="FFFFFF"/>
            <w:tcMar>
              <w:top w:w="85" w:type="dxa"/>
              <w:left w:w="85" w:type="dxa"/>
              <w:bottom w:w="85" w:type="dxa"/>
              <w:right w:w="85" w:type="dxa"/>
            </w:tcMar>
          </w:tcPr>
          <w:p>
            <w:pPr>
              <w:spacing w:after="60" w:before="60"/>
            </w:pPr>
            <w:r>
              <w:rPr>
                <w:b w:val="0"/>
                <w:sz w:val="18"/>
              </w:rPr>
              <w:t>Day 2</w:t>
            </w:r>
          </w:p>
        </w:tc>
        <w:tc>
          <w:tcPr>
            <w:tcW w:type="dxa" w:w="2520"/>
            <w:vAlign w:val="center"/>
            <w:shd w:fill="FFFFFF"/>
            <w:tcMar>
              <w:top w:w="85" w:type="dxa"/>
              <w:left w:w="85" w:type="dxa"/>
              <w:bottom w:w="85" w:type="dxa"/>
              <w:right w:w="85" w:type="dxa"/>
            </w:tcMar>
          </w:tcPr>
          <w:p>
            <w:pPr>
              <w:spacing w:after="60" w:before="60"/>
            </w:pPr>
            <w:r>
              <w:rPr>
                <w:b w:val="0"/>
                <w:sz w:val="18"/>
              </w:rPr>
              <w:t>Not started</w:t>
            </w:r>
          </w:p>
        </w:tc>
      </w:tr>
      <w:tr>
        <w:trPr>
          <w:cantSplit/>
        </w:trPr>
        <w:tc>
          <w:tcPr>
            <w:tcW w:type="dxa" w:w="691"/>
            <w:vAlign w:val="center"/>
            <w:shd w:fill="FFFFFF"/>
            <w:tcMar>
              <w:top w:w="85" w:type="dxa"/>
              <w:left w:w="85" w:type="dxa"/>
              <w:bottom w:w="85" w:type="dxa"/>
              <w:right w:w="85" w:type="dxa"/>
            </w:tcMar>
          </w:tcPr>
          <w:p>
            <w:pPr>
              <w:spacing w:after="60" w:before="60"/>
            </w:pPr>
            <w:r>
              <w:rPr>
                <w:b w:val="0"/>
                <w:sz w:val="18"/>
              </w:rPr>
              <w:t>H01</w:t>
            </w:r>
          </w:p>
        </w:tc>
        <w:tc>
          <w:tcPr>
            <w:tcW w:type="dxa" w:w="4205"/>
            <w:vAlign w:val="center"/>
            <w:shd w:fill="FFFFFF"/>
            <w:tcMar>
              <w:top w:w="85" w:type="dxa"/>
              <w:left w:w="85" w:type="dxa"/>
              <w:bottom w:w="85" w:type="dxa"/>
              <w:right w:w="85" w:type="dxa"/>
            </w:tcMar>
          </w:tcPr>
          <w:p>
            <w:pPr>
              <w:spacing w:after="60" w:before="60"/>
            </w:pPr>
            <w:r>
              <w:rPr>
                <w:b w:val="0"/>
                <w:sz w:val="18"/>
              </w:rPr>
              <w:t>Controlled real payment proof</w:t>
            </w:r>
          </w:p>
        </w:tc>
        <w:tc>
          <w:tcPr>
            <w:tcW w:type="dxa" w:w="1440"/>
            <w:vAlign w:val="center"/>
            <w:shd w:fill="FFFFFF"/>
            <w:tcMar>
              <w:top w:w="85" w:type="dxa"/>
              <w:left w:w="85" w:type="dxa"/>
              <w:bottom w:w="85" w:type="dxa"/>
              <w:right w:w="85" w:type="dxa"/>
            </w:tcMar>
          </w:tcPr>
          <w:p>
            <w:pPr>
              <w:spacing w:after="60" w:before="60"/>
            </w:pPr>
            <w:r>
              <w:rPr>
                <w:b w:val="0"/>
                <w:sz w:val="18"/>
              </w:rPr>
              <w:t>Kavish</w:t>
            </w:r>
          </w:p>
        </w:tc>
        <w:tc>
          <w:tcPr>
            <w:tcW w:type="dxa" w:w="1008"/>
            <w:vAlign w:val="center"/>
            <w:shd w:fill="FFFFFF"/>
            <w:tcMar>
              <w:top w:w="85" w:type="dxa"/>
              <w:left w:w="85" w:type="dxa"/>
              <w:bottom w:w="85" w:type="dxa"/>
              <w:right w:w="85" w:type="dxa"/>
            </w:tcMar>
          </w:tcPr>
          <w:p>
            <w:pPr>
              <w:spacing w:after="60" w:before="60"/>
            </w:pPr>
            <w:r>
              <w:rPr>
                <w:b w:val="0"/>
                <w:sz w:val="18"/>
              </w:rPr>
              <w:t>Day 2</w:t>
            </w:r>
          </w:p>
        </w:tc>
        <w:tc>
          <w:tcPr>
            <w:tcW w:type="dxa" w:w="2520"/>
            <w:vAlign w:val="center"/>
            <w:shd w:fill="FFFFFF"/>
            <w:tcMar>
              <w:top w:w="85" w:type="dxa"/>
              <w:left w:w="85" w:type="dxa"/>
              <w:bottom w:w="85" w:type="dxa"/>
              <w:right w:w="85" w:type="dxa"/>
            </w:tcMar>
          </w:tcPr>
          <w:p>
            <w:pPr>
              <w:spacing w:after="60" w:before="60"/>
            </w:pPr>
            <w:r>
              <w:rPr>
                <w:b w:val="0"/>
                <w:sz w:val="18"/>
              </w:rPr>
              <w:t>Not started</w:t>
            </w:r>
          </w:p>
        </w:tc>
      </w:tr>
      <w:tr>
        <w:trPr>
          <w:cantSplit/>
        </w:trPr>
        <w:tc>
          <w:tcPr>
            <w:tcW w:type="dxa" w:w="691"/>
            <w:vAlign w:val="center"/>
            <w:shd w:fill="FFFFFF"/>
            <w:tcMar>
              <w:top w:w="85" w:type="dxa"/>
              <w:left w:w="85" w:type="dxa"/>
              <w:bottom w:w="85" w:type="dxa"/>
              <w:right w:w="85" w:type="dxa"/>
            </w:tcMar>
          </w:tcPr>
          <w:p>
            <w:pPr>
              <w:spacing w:after="60" w:before="60"/>
            </w:pPr>
            <w:r>
              <w:rPr>
                <w:b w:val="0"/>
                <w:sz w:val="18"/>
              </w:rPr>
              <w:t>I01</w:t>
            </w:r>
          </w:p>
        </w:tc>
        <w:tc>
          <w:tcPr>
            <w:tcW w:type="dxa" w:w="4205"/>
            <w:vAlign w:val="center"/>
            <w:shd w:fill="FFFFFF"/>
            <w:tcMar>
              <w:top w:w="85" w:type="dxa"/>
              <w:left w:w="85" w:type="dxa"/>
              <w:bottom w:w="85" w:type="dxa"/>
              <w:right w:w="85" w:type="dxa"/>
            </w:tcMar>
          </w:tcPr>
          <w:p>
            <w:pPr>
              <w:spacing w:after="60" w:before="60"/>
            </w:pPr>
            <w:r>
              <w:rPr>
                <w:b w:val="0"/>
                <w:sz w:val="18"/>
              </w:rPr>
              <w:t>Complete mock demo</w:t>
            </w:r>
          </w:p>
        </w:tc>
        <w:tc>
          <w:tcPr>
            <w:tcW w:type="dxa" w:w="1440"/>
            <w:vAlign w:val="center"/>
            <w:shd w:fill="FFFFFF"/>
            <w:tcMar>
              <w:top w:w="85" w:type="dxa"/>
              <w:left w:w="85" w:type="dxa"/>
              <w:bottom w:w="85" w:type="dxa"/>
              <w:right w:w="85" w:type="dxa"/>
            </w:tcMar>
          </w:tcPr>
          <w:p>
            <w:pPr>
              <w:spacing w:after="60" w:before="60"/>
            </w:pPr>
            <w:r>
              <w:rPr>
                <w:b w:val="0"/>
                <w:sz w:val="18"/>
              </w:rPr>
              <w:t>Lead</w:t>
            </w:r>
          </w:p>
        </w:tc>
        <w:tc>
          <w:tcPr>
            <w:tcW w:type="dxa" w:w="1008"/>
            <w:vAlign w:val="center"/>
            <w:shd w:fill="FFFFFF"/>
            <w:tcMar>
              <w:top w:w="85" w:type="dxa"/>
              <w:left w:w="85" w:type="dxa"/>
              <w:bottom w:w="85" w:type="dxa"/>
              <w:right w:w="85" w:type="dxa"/>
            </w:tcMar>
          </w:tcPr>
          <w:p>
            <w:pPr>
              <w:spacing w:after="60" w:before="60"/>
            </w:pPr>
            <w:r>
              <w:rPr>
                <w:b w:val="0"/>
                <w:sz w:val="18"/>
              </w:rPr>
              <w:t>Day 2</w:t>
            </w:r>
          </w:p>
        </w:tc>
        <w:tc>
          <w:tcPr>
            <w:tcW w:type="dxa" w:w="2520"/>
            <w:vAlign w:val="center"/>
            <w:shd w:fill="FFFFFF"/>
            <w:tcMar>
              <w:top w:w="85" w:type="dxa"/>
              <w:left w:w="85" w:type="dxa"/>
              <w:bottom w:w="85" w:type="dxa"/>
              <w:right w:w="85" w:type="dxa"/>
            </w:tcMar>
          </w:tcPr>
          <w:p>
            <w:pPr>
              <w:spacing w:after="60" w:before="60"/>
            </w:pPr>
            <w:r>
              <w:rPr>
                <w:b w:val="0"/>
                <w:sz w:val="18"/>
              </w:rPr>
              <w:t>Not started</w:t>
            </w:r>
          </w:p>
        </w:tc>
      </w:tr>
      <w:tr>
        <w:trPr>
          <w:cantSplit/>
        </w:trPr>
        <w:tc>
          <w:tcPr>
            <w:tcW w:type="dxa" w:w="691"/>
            <w:vAlign w:val="center"/>
            <w:shd w:fill="FFFFFF"/>
            <w:tcMar>
              <w:top w:w="85" w:type="dxa"/>
              <w:left w:w="85" w:type="dxa"/>
              <w:bottom w:w="85" w:type="dxa"/>
              <w:right w:w="85" w:type="dxa"/>
            </w:tcMar>
          </w:tcPr>
          <w:p>
            <w:pPr>
              <w:spacing w:after="60" w:before="60"/>
            </w:pPr>
            <w:r>
              <w:rPr>
                <w:b w:val="0"/>
                <w:sz w:val="18"/>
              </w:rPr>
              <w:t>G02</w:t>
            </w:r>
          </w:p>
        </w:tc>
        <w:tc>
          <w:tcPr>
            <w:tcW w:type="dxa" w:w="4205"/>
            <w:vAlign w:val="center"/>
            <w:shd w:fill="FFFFFF"/>
            <w:tcMar>
              <w:top w:w="85" w:type="dxa"/>
              <w:left w:w="85" w:type="dxa"/>
              <w:bottom w:w="85" w:type="dxa"/>
              <w:right w:w="85" w:type="dxa"/>
            </w:tcMar>
          </w:tcPr>
          <w:p>
            <w:pPr>
              <w:spacing w:after="60" w:before="60"/>
            </w:pPr>
            <w:r>
              <w:rPr>
                <w:b w:val="0"/>
                <w:sz w:val="18"/>
              </w:rPr>
              <w:t>Live query client and mappings</w:t>
            </w:r>
          </w:p>
        </w:tc>
        <w:tc>
          <w:tcPr>
            <w:tcW w:type="dxa" w:w="1440"/>
            <w:vAlign w:val="center"/>
            <w:shd w:fill="FFFFFF"/>
            <w:tcMar>
              <w:top w:w="85" w:type="dxa"/>
              <w:left w:w="85" w:type="dxa"/>
              <w:bottom w:w="85" w:type="dxa"/>
              <w:right w:w="85" w:type="dxa"/>
            </w:tcMar>
          </w:tcPr>
          <w:p>
            <w:pPr>
              <w:spacing w:after="60" w:before="60"/>
            </w:pPr>
            <w:r>
              <w:rPr>
                <w:b w:val="0"/>
                <w:sz w:val="18"/>
              </w:rPr>
              <w:t>Aditya</w:t>
            </w:r>
          </w:p>
        </w:tc>
        <w:tc>
          <w:tcPr>
            <w:tcW w:type="dxa" w:w="1008"/>
            <w:vAlign w:val="center"/>
            <w:shd w:fill="FFFFFF"/>
            <w:tcMar>
              <w:top w:w="85" w:type="dxa"/>
              <w:left w:w="85" w:type="dxa"/>
              <w:bottom w:w="85" w:type="dxa"/>
              <w:right w:w="85" w:type="dxa"/>
            </w:tcMar>
          </w:tcPr>
          <w:p>
            <w:pPr>
              <w:spacing w:after="60" w:before="60"/>
            </w:pPr>
            <w:r>
              <w:rPr>
                <w:b w:val="0"/>
                <w:sz w:val="18"/>
              </w:rPr>
              <w:t>Day 4</w:t>
            </w:r>
          </w:p>
        </w:tc>
        <w:tc>
          <w:tcPr>
            <w:tcW w:type="dxa" w:w="2520"/>
            <w:vAlign w:val="center"/>
            <w:shd w:fill="FFFFFF"/>
            <w:tcMar>
              <w:top w:w="85" w:type="dxa"/>
              <w:left w:w="85" w:type="dxa"/>
              <w:bottom w:w="85" w:type="dxa"/>
              <w:right w:w="85" w:type="dxa"/>
            </w:tcMar>
          </w:tcPr>
          <w:p>
            <w:pPr>
              <w:spacing w:after="60" w:before="60"/>
            </w:pPr>
            <w:r>
              <w:rPr>
                <w:b w:val="0"/>
                <w:sz w:val="18"/>
              </w:rPr>
              <w:t>Not started</w:t>
            </w:r>
          </w:p>
        </w:tc>
      </w:tr>
      <w:tr>
        <w:trPr>
          <w:cantSplit/>
        </w:trPr>
        <w:tc>
          <w:tcPr>
            <w:tcW w:type="dxa" w:w="691"/>
            <w:vAlign w:val="center"/>
            <w:shd w:fill="FFFFFF"/>
            <w:tcMar>
              <w:top w:w="85" w:type="dxa"/>
              <w:left w:w="85" w:type="dxa"/>
              <w:bottom w:w="85" w:type="dxa"/>
              <w:right w:w="85" w:type="dxa"/>
            </w:tcMar>
          </w:tcPr>
          <w:p>
            <w:pPr>
              <w:spacing w:after="60" w:before="60"/>
            </w:pPr>
            <w:r>
              <w:rPr>
                <w:b w:val="0"/>
                <w:sz w:val="18"/>
              </w:rPr>
              <w:t>H02</w:t>
            </w:r>
          </w:p>
        </w:tc>
        <w:tc>
          <w:tcPr>
            <w:tcW w:type="dxa" w:w="4205"/>
            <w:vAlign w:val="center"/>
            <w:shd w:fill="FFFFFF"/>
            <w:tcMar>
              <w:top w:w="85" w:type="dxa"/>
              <w:left w:w="85" w:type="dxa"/>
              <w:bottom w:w="85" w:type="dxa"/>
              <w:right w:w="85" w:type="dxa"/>
            </w:tcMar>
          </w:tcPr>
          <w:p>
            <w:pPr>
              <w:spacing w:after="60" w:before="60"/>
            </w:pPr>
            <w:r>
              <w:rPr>
                <w:b w:val="0"/>
                <w:sz w:val="18"/>
              </w:rPr>
              <w:t>Contract, HCS and recovery</w:t>
            </w:r>
          </w:p>
        </w:tc>
        <w:tc>
          <w:tcPr>
            <w:tcW w:type="dxa" w:w="1440"/>
            <w:vAlign w:val="center"/>
            <w:shd w:fill="FFFFFF"/>
            <w:tcMar>
              <w:top w:w="85" w:type="dxa"/>
              <w:left w:w="85" w:type="dxa"/>
              <w:bottom w:w="85" w:type="dxa"/>
              <w:right w:w="85" w:type="dxa"/>
            </w:tcMar>
          </w:tcPr>
          <w:p>
            <w:pPr>
              <w:spacing w:after="60" w:before="60"/>
            </w:pPr>
            <w:r>
              <w:rPr>
                <w:b w:val="0"/>
                <w:sz w:val="18"/>
              </w:rPr>
              <w:t>Kavish</w:t>
            </w:r>
          </w:p>
        </w:tc>
        <w:tc>
          <w:tcPr>
            <w:tcW w:type="dxa" w:w="1008"/>
            <w:vAlign w:val="center"/>
            <w:shd w:fill="FFFFFF"/>
            <w:tcMar>
              <w:top w:w="85" w:type="dxa"/>
              <w:left w:w="85" w:type="dxa"/>
              <w:bottom w:w="85" w:type="dxa"/>
              <w:right w:w="85" w:type="dxa"/>
            </w:tcMar>
          </w:tcPr>
          <w:p>
            <w:pPr>
              <w:spacing w:after="60" w:before="60"/>
            </w:pPr>
            <w:r>
              <w:rPr>
                <w:b w:val="0"/>
                <w:sz w:val="18"/>
              </w:rPr>
              <w:t>Day 4</w:t>
            </w:r>
          </w:p>
        </w:tc>
        <w:tc>
          <w:tcPr>
            <w:tcW w:type="dxa" w:w="2520"/>
            <w:vAlign w:val="center"/>
            <w:shd w:fill="FFFFFF"/>
            <w:tcMar>
              <w:top w:w="85" w:type="dxa"/>
              <w:left w:w="85" w:type="dxa"/>
              <w:bottom w:w="85" w:type="dxa"/>
              <w:right w:w="85" w:type="dxa"/>
            </w:tcMar>
          </w:tcPr>
          <w:p>
            <w:pPr>
              <w:spacing w:after="60" w:before="60"/>
            </w:pPr>
            <w:r>
              <w:rPr>
                <w:b w:val="0"/>
                <w:sz w:val="18"/>
              </w:rPr>
              <w:t>Not started</w:t>
            </w:r>
          </w:p>
        </w:tc>
      </w:tr>
      <w:tr>
        <w:trPr>
          <w:cantSplit/>
        </w:trPr>
        <w:tc>
          <w:tcPr>
            <w:tcW w:type="dxa" w:w="691"/>
            <w:vAlign w:val="center"/>
            <w:shd w:fill="FFFFFF"/>
            <w:tcMar>
              <w:top w:w="85" w:type="dxa"/>
              <w:left w:w="85" w:type="dxa"/>
              <w:bottom w:w="85" w:type="dxa"/>
              <w:right w:w="85" w:type="dxa"/>
            </w:tcMar>
          </w:tcPr>
          <w:p>
            <w:pPr>
              <w:spacing w:after="60" w:before="60"/>
            </w:pPr>
            <w:r>
              <w:rPr>
                <w:b w:val="0"/>
                <w:sz w:val="18"/>
              </w:rPr>
              <w:t>I02</w:t>
            </w:r>
          </w:p>
        </w:tc>
        <w:tc>
          <w:tcPr>
            <w:tcW w:type="dxa" w:w="4205"/>
            <w:vAlign w:val="center"/>
            <w:shd w:fill="FFFFFF"/>
            <w:tcMar>
              <w:top w:w="85" w:type="dxa"/>
              <w:left w:w="85" w:type="dxa"/>
              <w:bottom w:w="85" w:type="dxa"/>
              <w:right w:w="85" w:type="dxa"/>
            </w:tcMar>
          </w:tcPr>
          <w:p>
            <w:pPr>
              <w:spacing w:after="60" w:before="60"/>
            </w:pPr>
            <w:r>
              <w:rPr>
                <w:b w:val="0"/>
                <w:sz w:val="18"/>
              </w:rPr>
              <w:t>Agents and persistent workflow</w:t>
            </w:r>
          </w:p>
        </w:tc>
        <w:tc>
          <w:tcPr>
            <w:tcW w:type="dxa" w:w="1440"/>
            <w:vAlign w:val="center"/>
            <w:shd w:fill="FFFFFF"/>
            <w:tcMar>
              <w:top w:w="85" w:type="dxa"/>
              <w:left w:w="85" w:type="dxa"/>
              <w:bottom w:w="85" w:type="dxa"/>
              <w:right w:w="85" w:type="dxa"/>
            </w:tcMar>
          </w:tcPr>
          <w:p>
            <w:pPr>
              <w:spacing w:after="60" w:before="60"/>
            </w:pPr>
            <w:r>
              <w:rPr>
                <w:b w:val="0"/>
                <w:sz w:val="18"/>
              </w:rPr>
              <w:t>Lead</w:t>
            </w:r>
          </w:p>
        </w:tc>
        <w:tc>
          <w:tcPr>
            <w:tcW w:type="dxa" w:w="1008"/>
            <w:vAlign w:val="center"/>
            <w:shd w:fill="FFFFFF"/>
            <w:tcMar>
              <w:top w:w="85" w:type="dxa"/>
              <w:left w:w="85" w:type="dxa"/>
              <w:bottom w:w="85" w:type="dxa"/>
              <w:right w:w="85" w:type="dxa"/>
            </w:tcMar>
          </w:tcPr>
          <w:p>
            <w:pPr>
              <w:spacing w:after="60" w:before="60"/>
            </w:pPr>
            <w:r>
              <w:rPr>
                <w:b w:val="0"/>
                <w:sz w:val="18"/>
              </w:rPr>
              <w:t>Day 4</w:t>
            </w:r>
          </w:p>
        </w:tc>
        <w:tc>
          <w:tcPr>
            <w:tcW w:type="dxa" w:w="2520"/>
            <w:vAlign w:val="center"/>
            <w:shd w:fill="FFFFFF"/>
            <w:tcMar>
              <w:top w:w="85" w:type="dxa"/>
              <w:left w:w="85" w:type="dxa"/>
              <w:bottom w:w="85" w:type="dxa"/>
              <w:right w:w="85" w:type="dxa"/>
            </w:tcMar>
          </w:tcPr>
          <w:p>
            <w:pPr>
              <w:spacing w:after="60" w:before="60"/>
            </w:pPr>
            <w:r>
              <w:rPr>
                <w:b w:val="0"/>
                <w:sz w:val="18"/>
              </w:rPr>
              <w:t>Not started</w:t>
            </w:r>
          </w:p>
        </w:tc>
      </w:tr>
      <w:tr>
        <w:trPr>
          <w:cantSplit/>
        </w:trPr>
        <w:tc>
          <w:tcPr>
            <w:tcW w:type="dxa" w:w="691"/>
            <w:vAlign w:val="center"/>
            <w:shd w:fill="FFFFFF"/>
            <w:tcMar>
              <w:top w:w="85" w:type="dxa"/>
              <w:left w:w="85" w:type="dxa"/>
              <w:bottom w:w="85" w:type="dxa"/>
              <w:right w:w="85" w:type="dxa"/>
            </w:tcMar>
          </w:tcPr>
          <w:p>
            <w:pPr>
              <w:spacing w:after="60" w:before="60"/>
            </w:pPr>
            <w:r>
              <w:rPr>
                <w:b w:val="0"/>
                <w:sz w:val="18"/>
              </w:rPr>
              <w:t>I03</w:t>
            </w:r>
          </w:p>
        </w:tc>
        <w:tc>
          <w:tcPr>
            <w:tcW w:type="dxa" w:w="4205"/>
            <w:vAlign w:val="center"/>
            <w:shd w:fill="FFFFFF"/>
            <w:tcMar>
              <w:top w:w="85" w:type="dxa"/>
              <w:left w:w="85" w:type="dxa"/>
              <w:bottom w:w="85" w:type="dxa"/>
              <w:right w:w="85" w:type="dxa"/>
            </w:tcMar>
          </w:tcPr>
          <w:p>
            <w:pPr>
              <w:spacing w:after="60" w:before="60"/>
            </w:pPr>
            <w:r>
              <w:rPr>
                <w:b w:val="0"/>
                <w:sz w:val="18"/>
              </w:rPr>
              <w:t>Real end-to-end flow</w:t>
            </w:r>
          </w:p>
        </w:tc>
        <w:tc>
          <w:tcPr>
            <w:tcW w:type="dxa" w:w="1440"/>
            <w:vAlign w:val="center"/>
            <w:shd w:fill="FFFFFF"/>
            <w:tcMar>
              <w:top w:w="85" w:type="dxa"/>
              <w:left w:w="85" w:type="dxa"/>
              <w:bottom w:w="85" w:type="dxa"/>
              <w:right w:w="85" w:type="dxa"/>
            </w:tcMar>
          </w:tcPr>
          <w:p>
            <w:pPr>
              <w:spacing w:after="60" w:before="60"/>
            </w:pPr>
            <w:r>
              <w:rPr>
                <w:b w:val="0"/>
                <w:sz w:val="18"/>
              </w:rPr>
              <w:t>Lead</w:t>
            </w:r>
          </w:p>
        </w:tc>
        <w:tc>
          <w:tcPr>
            <w:tcW w:type="dxa" w:w="1008"/>
            <w:vAlign w:val="center"/>
            <w:shd w:fill="FFFFFF"/>
            <w:tcMar>
              <w:top w:w="85" w:type="dxa"/>
              <w:left w:w="85" w:type="dxa"/>
              <w:bottom w:w="85" w:type="dxa"/>
              <w:right w:w="85" w:type="dxa"/>
            </w:tcMar>
          </w:tcPr>
          <w:p>
            <w:pPr>
              <w:spacing w:after="60" w:before="60"/>
            </w:pPr>
            <w:r>
              <w:rPr>
                <w:b w:val="0"/>
                <w:sz w:val="18"/>
              </w:rPr>
              <w:t>Day 6</w:t>
            </w:r>
          </w:p>
        </w:tc>
        <w:tc>
          <w:tcPr>
            <w:tcW w:type="dxa" w:w="2520"/>
            <w:vAlign w:val="center"/>
            <w:shd w:fill="FFFFFF"/>
            <w:tcMar>
              <w:top w:w="85" w:type="dxa"/>
              <w:left w:w="85" w:type="dxa"/>
              <w:bottom w:w="85" w:type="dxa"/>
              <w:right w:w="85" w:type="dxa"/>
            </w:tcMar>
          </w:tcPr>
          <w:p>
            <w:pPr>
              <w:spacing w:after="60" w:before="60"/>
            </w:pPr>
            <w:r>
              <w:rPr>
                <w:b w:val="0"/>
                <w:sz w:val="18"/>
              </w:rPr>
              <w:t>Not started</w:t>
            </w:r>
          </w:p>
        </w:tc>
      </w:tr>
      <w:tr>
        <w:trPr>
          <w:cantSplit/>
        </w:trPr>
        <w:tc>
          <w:tcPr>
            <w:tcW w:type="dxa" w:w="691"/>
            <w:vAlign w:val="center"/>
            <w:shd w:fill="FFFFFF"/>
            <w:tcMar>
              <w:top w:w="85" w:type="dxa"/>
              <w:left w:w="85" w:type="dxa"/>
              <w:bottom w:w="85" w:type="dxa"/>
              <w:right w:w="85" w:type="dxa"/>
            </w:tcMar>
          </w:tcPr>
          <w:p>
            <w:pPr>
              <w:spacing w:after="60" w:before="60"/>
            </w:pPr>
            <w:r>
              <w:rPr>
                <w:b w:val="0"/>
                <w:sz w:val="18"/>
              </w:rPr>
              <w:t>Q01</w:t>
            </w:r>
          </w:p>
        </w:tc>
        <w:tc>
          <w:tcPr>
            <w:tcW w:type="dxa" w:w="4205"/>
            <w:vAlign w:val="center"/>
            <w:shd w:fill="FFFFFF"/>
            <w:tcMar>
              <w:top w:w="85" w:type="dxa"/>
              <w:left w:w="85" w:type="dxa"/>
              <w:bottom w:w="85" w:type="dxa"/>
              <w:right w:w="85" w:type="dxa"/>
            </w:tcMar>
          </w:tcPr>
          <w:p>
            <w:pPr>
              <w:spacing w:after="60" w:before="60"/>
            </w:pPr>
            <w:r>
              <w:rPr>
                <w:b w:val="0"/>
                <w:sz w:val="18"/>
              </w:rPr>
              <w:t>Component failure tests</w:t>
            </w:r>
          </w:p>
        </w:tc>
        <w:tc>
          <w:tcPr>
            <w:tcW w:type="dxa" w:w="1440"/>
            <w:vAlign w:val="center"/>
            <w:shd w:fill="FFFFFF"/>
            <w:tcMar>
              <w:top w:w="85" w:type="dxa"/>
              <w:left w:w="85" w:type="dxa"/>
              <w:bottom w:w="85" w:type="dxa"/>
              <w:right w:w="85" w:type="dxa"/>
            </w:tcMar>
          </w:tcPr>
          <w:p>
            <w:pPr>
              <w:spacing w:after="60" w:before="60"/>
            </w:pPr>
            <w:r>
              <w:rPr>
                <w:b w:val="0"/>
                <w:sz w:val="18"/>
              </w:rPr>
              <w:t>All owners</w:t>
            </w:r>
          </w:p>
        </w:tc>
        <w:tc>
          <w:tcPr>
            <w:tcW w:type="dxa" w:w="1008"/>
            <w:vAlign w:val="center"/>
            <w:shd w:fill="FFFFFF"/>
            <w:tcMar>
              <w:top w:w="85" w:type="dxa"/>
              <w:left w:w="85" w:type="dxa"/>
              <w:bottom w:w="85" w:type="dxa"/>
              <w:right w:w="85" w:type="dxa"/>
            </w:tcMar>
          </w:tcPr>
          <w:p>
            <w:pPr>
              <w:spacing w:after="60" w:before="60"/>
            </w:pPr>
            <w:r>
              <w:rPr>
                <w:b w:val="0"/>
                <w:sz w:val="18"/>
              </w:rPr>
              <w:t>Day 8</w:t>
            </w:r>
          </w:p>
        </w:tc>
        <w:tc>
          <w:tcPr>
            <w:tcW w:type="dxa" w:w="2520"/>
            <w:vAlign w:val="center"/>
            <w:shd w:fill="FFFFFF"/>
            <w:tcMar>
              <w:top w:w="85" w:type="dxa"/>
              <w:left w:w="85" w:type="dxa"/>
              <w:bottom w:w="85" w:type="dxa"/>
              <w:right w:w="85" w:type="dxa"/>
            </w:tcMar>
          </w:tcPr>
          <w:p>
            <w:pPr>
              <w:spacing w:after="60" w:before="60"/>
            </w:pPr>
            <w:r>
              <w:rPr>
                <w:b w:val="0"/>
                <w:sz w:val="18"/>
              </w:rPr>
              <w:t>Not started</w:t>
            </w:r>
          </w:p>
        </w:tc>
      </w:tr>
      <w:tr>
        <w:trPr>
          <w:cantSplit/>
        </w:trPr>
        <w:tc>
          <w:tcPr>
            <w:tcW w:type="dxa" w:w="691"/>
            <w:vAlign w:val="center"/>
            <w:shd w:fill="FFFFFF"/>
            <w:tcMar>
              <w:top w:w="85" w:type="dxa"/>
              <w:left w:w="85" w:type="dxa"/>
              <w:bottom w:w="85" w:type="dxa"/>
              <w:right w:w="85" w:type="dxa"/>
            </w:tcMar>
          </w:tcPr>
          <w:p>
            <w:pPr>
              <w:spacing w:after="60" w:before="60"/>
            </w:pPr>
            <w:r>
              <w:rPr>
                <w:b w:val="0"/>
                <w:sz w:val="18"/>
              </w:rPr>
              <w:t>D01</w:t>
            </w:r>
          </w:p>
        </w:tc>
        <w:tc>
          <w:tcPr>
            <w:tcW w:type="dxa" w:w="4205"/>
            <w:vAlign w:val="center"/>
            <w:shd w:fill="FFFFFF"/>
            <w:tcMar>
              <w:top w:w="85" w:type="dxa"/>
              <w:left w:w="85" w:type="dxa"/>
              <w:bottom w:w="85" w:type="dxa"/>
              <w:right w:w="85" w:type="dxa"/>
            </w:tcMar>
          </w:tcPr>
          <w:p>
            <w:pPr>
              <w:spacing w:after="60" w:before="60"/>
            </w:pPr>
            <w:r>
              <w:rPr>
                <w:b w:val="0"/>
                <w:sz w:val="18"/>
              </w:rPr>
              <w:t>Stable deployment</w:t>
            </w:r>
          </w:p>
        </w:tc>
        <w:tc>
          <w:tcPr>
            <w:tcW w:type="dxa" w:w="1440"/>
            <w:vAlign w:val="center"/>
            <w:shd w:fill="FFFFFF"/>
            <w:tcMar>
              <w:top w:w="85" w:type="dxa"/>
              <w:left w:w="85" w:type="dxa"/>
              <w:bottom w:w="85" w:type="dxa"/>
              <w:right w:w="85" w:type="dxa"/>
            </w:tcMar>
          </w:tcPr>
          <w:p>
            <w:pPr>
              <w:spacing w:after="60" w:before="60"/>
            </w:pPr>
            <w:r>
              <w:rPr>
                <w:b w:val="0"/>
                <w:sz w:val="18"/>
              </w:rPr>
              <w:t>Kavish</w:t>
            </w:r>
          </w:p>
        </w:tc>
        <w:tc>
          <w:tcPr>
            <w:tcW w:type="dxa" w:w="1008"/>
            <w:vAlign w:val="center"/>
            <w:shd w:fill="FFFFFF"/>
            <w:tcMar>
              <w:top w:w="85" w:type="dxa"/>
              <w:left w:w="85" w:type="dxa"/>
              <w:bottom w:w="85" w:type="dxa"/>
              <w:right w:w="85" w:type="dxa"/>
            </w:tcMar>
          </w:tcPr>
          <w:p>
            <w:pPr>
              <w:spacing w:after="60" w:before="60"/>
            </w:pPr>
            <w:r>
              <w:rPr>
                <w:b w:val="0"/>
                <w:sz w:val="18"/>
              </w:rPr>
              <w:t>Day 9</w:t>
            </w:r>
          </w:p>
        </w:tc>
        <w:tc>
          <w:tcPr>
            <w:tcW w:type="dxa" w:w="2520"/>
            <w:vAlign w:val="center"/>
            <w:shd w:fill="FFFFFF"/>
            <w:tcMar>
              <w:top w:w="85" w:type="dxa"/>
              <w:left w:w="85" w:type="dxa"/>
              <w:bottom w:w="85" w:type="dxa"/>
              <w:right w:w="85" w:type="dxa"/>
            </w:tcMar>
          </w:tcPr>
          <w:p>
            <w:pPr>
              <w:spacing w:after="60" w:before="60"/>
            </w:pPr>
            <w:r>
              <w:rPr>
                <w:b w:val="0"/>
                <w:sz w:val="18"/>
              </w:rPr>
              <w:t>Not started</w:t>
            </w:r>
          </w:p>
        </w:tc>
      </w:tr>
      <w:tr>
        <w:trPr>
          <w:cantSplit/>
        </w:trPr>
        <w:tc>
          <w:tcPr>
            <w:tcW w:type="dxa" w:w="691"/>
            <w:vAlign w:val="center"/>
            <w:shd w:fill="FFFFFF"/>
            <w:tcMar>
              <w:top w:w="85" w:type="dxa"/>
              <w:left w:w="85" w:type="dxa"/>
              <w:bottom w:w="85" w:type="dxa"/>
              <w:right w:w="85" w:type="dxa"/>
            </w:tcMar>
          </w:tcPr>
          <w:p>
            <w:pPr>
              <w:spacing w:after="60" w:before="60"/>
            </w:pPr>
            <w:r>
              <w:rPr>
                <w:b w:val="0"/>
                <w:sz w:val="18"/>
              </w:rPr>
              <w:t>S01</w:t>
            </w:r>
          </w:p>
        </w:tc>
        <w:tc>
          <w:tcPr>
            <w:tcW w:type="dxa" w:w="4205"/>
            <w:vAlign w:val="center"/>
            <w:shd w:fill="FFFFFF"/>
            <w:tcMar>
              <w:top w:w="85" w:type="dxa"/>
              <w:left w:w="85" w:type="dxa"/>
              <w:bottom w:w="85" w:type="dxa"/>
              <w:right w:w="85" w:type="dxa"/>
            </w:tcMar>
          </w:tcPr>
          <w:p>
            <w:pPr>
              <w:spacing w:after="60" w:before="60"/>
            </w:pPr>
            <w:r>
              <w:rPr>
                <w:b w:val="0"/>
                <w:sz w:val="18"/>
              </w:rPr>
              <w:t>Graph integration evidence</w:t>
            </w:r>
          </w:p>
        </w:tc>
        <w:tc>
          <w:tcPr>
            <w:tcW w:type="dxa" w:w="1440"/>
            <w:vAlign w:val="center"/>
            <w:shd w:fill="FFFFFF"/>
            <w:tcMar>
              <w:top w:w="85" w:type="dxa"/>
              <w:left w:w="85" w:type="dxa"/>
              <w:bottom w:w="85" w:type="dxa"/>
              <w:right w:w="85" w:type="dxa"/>
            </w:tcMar>
          </w:tcPr>
          <w:p>
            <w:pPr>
              <w:spacing w:after="60" w:before="60"/>
            </w:pPr>
            <w:r>
              <w:rPr>
                <w:b w:val="0"/>
                <w:sz w:val="18"/>
              </w:rPr>
              <w:t>Aditya</w:t>
            </w:r>
          </w:p>
        </w:tc>
        <w:tc>
          <w:tcPr>
            <w:tcW w:type="dxa" w:w="1008"/>
            <w:vAlign w:val="center"/>
            <w:shd w:fill="FFFFFF"/>
            <w:tcMar>
              <w:top w:w="85" w:type="dxa"/>
              <w:left w:w="85" w:type="dxa"/>
              <w:bottom w:w="85" w:type="dxa"/>
              <w:right w:w="85" w:type="dxa"/>
            </w:tcMar>
          </w:tcPr>
          <w:p>
            <w:pPr>
              <w:spacing w:after="60" w:before="60"/>
            </w:pPr>
            <w:r>
              <w:rPr>
                <w:b w:val="0"/>
                <w:sz w:val="18"/>
              </w:rPr>
              <w:t>Day 9</w:t>
            </w:r>
          </w:p>
        </w:tc>
        <w:tc>
          <w:tcPr>
            <w:tcW w:type="dxa" w:w="2520"/>
            <w:vAlign w:val="center"/>
            <w:shd w:fill="FFFFFF"/>
            <w:tcMar>
              <w:top w:w="85" w:type="dxa"/>
              <w:left w:w="85" w:type="dxa"/>
              <w:bottom w:w="85" w:type="dxa"/>
              <w:right w:w="85" w:type="dxa"/>
            </w:tcMar>
          </w:tcPr>
          <w:p>
            <w:pPr>
              <w:spacing w:after="60" w:before="60"/>
            </w:pPr>
            <w:r>
              <w:rPr>
                <w:b w:val="0"/>
                <w:sz w:val="18"/>
              </w:rPr>
              <w:t>Not started</w:t>
            </w:r>
          </w:p>
        </w:tc>
      </w:tr>
      <w:tr>
        <w:trPr>
          <w:cantSplit/>
        </w:trPr>
        <w:tc>
          <w:tcPr>
            <w:tcW w:type="dxa" w:w="691"/>
            <w:vAlign w:val="center"/>
            <w:shd w:fill="FFFFFF"/>
            <w:tcMar>
              <w:top w:w="85" w:type="dxa"/>
              <w:left w:w="85" w:type="dxa"/>
              <w:bottom w:w="85" w:type="dxa"/>
              <w:right w:w="85" w:type="dxa"/>
            </w:tcMar>
          </w:tcPr>
          <w:p>
            <w:pPr>
              <w:spacing w:after="60" w:before="60"/>
            </w:pPr>
            <w:r>
              <w:rPr>
                <w:b w:val="0"/>
                <w:sz w:val="18"/>
              </w:rPr>
              <w:t>S02</w:t>
            </w:r>
          </w:p>
        </w:tc>
        <w:tc>
          <w:tcPr>
            <w:tcW w:type="dxa" w:w="4205"/>
            <w:vAlign w:val="center"/>
            <w:shd w:fill="FFFFFF"/>
            <w:tcMar>
              <w:top w:w="85" w:type="dxa"/>
              <w:left w:w="85" w:type="dxa"/>
              <w:bottom w:w="85" w:type="dxa"/>
              <w:right w:w="85" w:type="dxa"/>
            </w:tcMar>
          </w:tcPr>
          <w:p>
            <w:pPr>
              <w:spacing w:after="60" w:before="60"/>
            </w:pPr>
            <w:r>
              <w:rPr>
                <w:b w:val="0"/>
                <w:sz w:val="18"/>
              </w:rPr>
              <w:t>Demo and submission</w:t>
            </w:r>
          </w:p>
        </w:tc>
        <w:tc>
          <w:tcPr>
            <w:tcW w:type="dxa" w:w="1440"/>
            <w:vAlign w:val="center"/>
            <w:shd w:fill="FFFFFF"/>
            <w:tcMar>
              <w:top w:w="85" w:type="dxa"/>
              <w:left w:w="85" w:type="dxa"/>
              <w:bottom w:w="85" w:type="dxa"/>
              <w:right w:w="85" w:type="dxa"/>
            </w:tcMar>
          </w:tcPr>
          <w:p>
            <w:pPr>
              <w:spacing w:after="60" w:before="60"/>
            </w:pPr>
            <w:r>
              <w:rPr>
                <w:b w:val="0"/>
                <w:sz w:val="18"/>
              </w:rPr>
              <w:t>Lead</w:t>
            </w:r>
          </w:p>
        </w:tc>
        <w:tc>
          <w:tcPr>
            <w:tcW w:type="dxa" w:w="1008"/>
            <w:vAlign w:val="center"/>
            <w:shd w:fill="FFFFFF"/>
            <w:tcMar>
              <w:top w:w="85" w:type="dxa"/>
              <w:left w:w="85" w:type="dxa"/>
              <w:bottom w:w="85" w:type="dxa"/>
              <w:right w:w="85" w:type="dxa"/>
            </w:tcMar>
          </w:tcPr>
          <w:p>
            <w:pPr>
              <w:spacing w:after="60" w:before="60"/>
            </w:pPr>
            <w:r>
              <w:rPr>
                <w:b w:val="0"/>
                <w:sz w:val="18"/>
              </w:rPr>
              <w:t>Day 10</w:t>
            </w:r>
          </w:p>
        </w:tc>
        <w:tc>
          <w:tcPr>
            <w:tcW w:type="dxa" w:w="2520"/>
            <w:vAlign w:val="center"/>
            <w:shd w:fill="FFFFFF"/>
            <w:tcMar>
              <w:top w:w="85" w:type="dxa"/>
              <w:left w:w="85" w:type="dxa"/>
              <w:bottom w:w="85" w:type="dxa"/>
              <w:right w:w="85" w:type="dxa"/>
            </w:tcMar>
          </w:tcPr>
          <w:p>
            <w:pPr>
              <w:spacing w:after="60" w:before="60"/>
            </w:pPr>
            <w:r>
              <w:rPr>
                <w:b w:val="0"/>
                <w:sz w:val="18"/>
              </w:rPr>
              <w:t>Not started</w:t>
            </w:r>
          </w:p>
        </w:tc>
      </w:tr>
    </w:tbl>
    <w:p/>
    <w:p>
      <w:pPr>
        <w:pStyle w:val="Heading2"/>
      </w:pPr>
      <w:r>
        <w:t>Blocker record template</w:t>
      </w:r>
    </w:p>
    <w:p>
      <w:r>
        <w:t>ID: ______   Owner: ______   Raised: ______   Next review: ______</w:t>
        <w:br/>
        <w:t>Blocked task: ______________________________________________</w:t>
        <w:br/>
        <w:t>Observed failure and evidence: ________________________________</w:t>
        <w:br/>
        <w:t>Next action and person needed: _______________________________</w:t>
        <w:br/>
        <w:t>Independent work or fixture fallback: __________________________</w:t>
      </w:r>
    </w:p>
    <w:p>
      <w:pPr>
        <w:pStyle w:val="Heading2"/>
      </w:pPr>
      <w:r>
        <w:t>Daily working agreement</w:t>
      </w:r>
    </w:p>
    <w:p>
      <w:r>
        <w:t>Hold a 15-minute check-in: what works, what changed, and what needs a decision. Merge small changes daily. Use short branches such as codex/graph-queries and codex/payment-recovery. Do not change interfaces silently. Continue against fixtures while a live dependency is unavailable, but keep the integration failure visible.</w:t>
      </w:r>
    </w:p>
    <w:p>
      <w:r>
        <w:t>If a foundational path fails, the lead makes a scope decision that day with the owner. Do not disguise a mock as a working sponsor integration.</w:t>
      </w:r>
    </w:p>
    <w:p>
      <w:r>
        <w:br w:type="page"/>
      </w:r>
    </w:p>
    <w:p>
      <w:pPr>
        <w:pStyle w:val="Subtitle"/>
      </w:pPr>
      <w:r>
        <w:t>COMMON  /  TEAM WORKSPACE  /  8</w:t>
      </w:r>
    </w:p>
    <w:p>
      <w:pPr>
        <w:pStyle w:val="Heading1"/>
      </w:pPr>
      <w:r>
        <w:t>Phase 5 deployment and submission</w:t>
      </w:r>
    </w:p>
    <w:p>
      <w:pPr>
        <w:pStyle w:val="Subtitle"/>
      </w:pPr>
      <w:r>
        <w:t>WHEN  Days 9–10     GATE  Stable demo and complete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352"/>
      </w:tblGrid>
      <w:tr>
        <w:trPr>
          <w:cantSplit/>
          <w:tblHeader/>
        </w:trPr>
        <w:tc>
          <w:tcPr>
            <w:tcW w:type="dxa" w:w="1512"/>
            <w:vAlign w:val="center"/>
            <w:shd w:fill="EAEAEA"/>
            <w:tcMar>
              <w:top w:w="85" w:type="dxa"/>
              <w:left w:w="85" w:type="dxa"/>
              <w:bottom w:w="85" w:type="dxa"/>
              <w:right w:w="85" w:type="dxa"/>
            </w:tcMar>
          </w:tcPr>
          <w:p>
            <w:pPr>
              <w:spacing w:after="60" w:before="60"/>
            </w:pPr>
            <w:r>
              <w:rPr>
                <w:b/>
                <w:sz w:val="18"/>
              </w:rPr>
              <w:t>Owner</w:t>
            </w:r>
          </w:p>
        </w:tc>
        <w:tc>
          <w:tcPr>
            <w:tcW w:type="dxa" w:w="8352"/>
            <w:vAlign w:val="center"/>
            <w:shd w:fill="EAEAEA"/>
            <w:tcMar>
              <w:top w:w="85" w:type="dxa"/>
              <w:left w:w="85" w:type="dxa"/>
              <w:bottom w:w="85" w:type="dxa"/>
              <w:right w:w="85" w:type="dxa"/>
            </w:tcMar>
          </w:tcPr>
          <w:p>
            <w:pPr>
              <w:spacing w:after="60" w:before="60"/>
            </w:pPr>
            <w:r>
              <w:rPr>
                <w:b/>
                <w:sz w:val="18"/>
              </w:rPr>
              <w:t>Final checklist</w:t>
            </w:r>
          </w:p>
        </w:tc>
      </w:tr>
      <w:tr>
        <w:trPr>
          <w:cantSplit/>
        </w:trPr>
        <w:tc>
          <w:tcPr>
            <w:tcW w:type="dxa" w:w="1512"/>
            <w:vAlign w:val="center"/>
            <w:shd w:fill="FFFFFF"/>
            <w:tcMar>
              <w:top w:w="85" w:type="dxa"/>
              <w:left w:w="85" w:type="dxa"/>
              <w:bottom w:w="85" w:type="dxa"/>
              <w:right w:w="85" w:type="dxa"/>
            </w:tcMar>
          </w:tcPr>
          <w:p>
            <w:pPr>
              <w:spacing w:after="60" w:before="60"/>
            </w:pPr>
            <w:r>
              <w:rPr>
                <w:b w:val="0"/>
                <w:sz w:val="18"/>
              </w:rPr>
              <w:t>Aditya</w:t>
            </w:r>
          </w:p>
        </w:tc>
        <w:tc>
          <w:tcPr>
            <w:tcW w:type="dxa" w:w="8352"/>
            <w:vAlign w:val="center"/>
            <w:shd w:fill="FFFFFF"/>
            <w:tcMar>
              <w:top w:w="85" w:type="dxa"/>
              <w:left w:w="85" w:type="dxa"/>
              <w:bottom w:w="85" w:type="dxa"/>
              <w:right w:w="85" w:type="dxa"/>
            </w:tcMar>
          </w:tcPr>
          <w:p>
            <w:pPr>
              <w:spacing w:after="60" w:before="60"/>
            </w:pPr>
            <w:r>
              <w:rPr>
                <w:b w:val="0"/>
                <w:sz w:val="18"/>
              </w:rPr>
              <w:t>Final Graph endpoint, example queries, counter verification, and documentation showing how live data changes an agent decision.</w:t>
            </w:r>
          </w:p>
        </w:tc>
      </w:tr>
      <w:tr>
        <w:trPr>
          <w:cantSplit/>
        </w:trPr>
        <w:tc>
          <w:tcPr>
            <w:tcW w:type="dxa" w:w="1512"/>
            <w:vAlign w:val="center"/>
            <w:shd w:fill="FFFFFF"/>
            <w:tcMar>
              <w:top w:w="85" w:type="dxa"/>
              <w:left w:w="85" w:type="dxa"/>
              <w:bottom w:w="85" w:type="dxa"/>
              <w:right w:w="85" w:type="dxa"/>
            </w:tcMar>
          </w:tcPr>
          <w:p>
            <w:pPr>
              <w:spacing w:after="60" w:before="60"/>
            </w:pPr>
            <w:r>
              <w:rPr>
                <w:b w:val="0"/>
                <w:sz w:val="18"/>
              </w:rPr>
              <w:t>Kavish</w:t>
            </w:r>
          </w:p>
        </w:tc>
        <w:tc>
          <w:tcPr>
            <w:tcW w:type="dxa" w:w="8352"/>
            <w:vAlign w:val="center"/>
            <w:shd w:fill="FFFFFF"/>
            <w:tcMar>
              <w:top w:w="85" w:type="dxa"/>
              <w:left w:w="85" w:type="dxa"/>
              <w:bottom w:w="85" w:type="dxa"/>
              <w:right w:w="85" w:type="dxa"/>
            </w:tcMar>
          </w:tcPr>
          <w:p>
            <w:pPr>
              <w:spacing w:after="60" w:before="60"/>
            </w:pPr>
            <w:r>
              <w:rPr>
                <w:b w:val="0"/>
                <w:sz w:val="18"/>
              </w:rPr>
              <w:t>Hosted services, health checks, testnet addresses, receipt evidence, HCS references, configuration and restart instructions.</w:t>
            </w:r>
          </w:p>
        </w:tc>
      </w:tr>
      <w:tr>
        <w:trPr>
          <w:cantSplit/>
        </w:trPr>
        <w:tc>
          <w:tcPr>
            <w:tcW w:type="dxa" w:w="1512"/>
            <w:vAlign w:val="center"/>
            <w:shd w:fill="FFFFFF"/>
            <w:tcMar>
              <w:top w:w="85" w:type="dxa"/>
              <w:left w:w="85" w:type="dxa"/>
              <w:bottom w:w="85" w:type="dxa"/>
              <w:right w:w="85" w:type="dxa"/>
            </w:tcMar>
          </w:tcPr>
          <w:p>
            <w:pPr>
              <w:spacing w:after="60" w:before="60"/>
            </w:pPr>
            <w:r>
              <w:rPr>
                <w:b w:val="0"/>
                <w:sz w:val="18"/>
              </w:rPr>
              <w:t>Project lead</w:t>
            </w:r>
          </w:p>
        </w:tc>
        <w:tc>
          <w:tcPr>
            <w:tcW w:type="dxa" w:w="8352"/>
            <w:vAlign w:val="center"/>
            <w:shd w:fill="FFFFFF"/>
            <w:tcMar>
              <w:top w:w="85" w:type="dxa"/>
              <w:left w:w="85" w:type="dxa"/>
              <w:bottom w:w="85" w:type="dxa"/>
              <w:right w:w="85" w:type="dxa"/>
            </w:tcMar>
          </w:tcPr>
          <w:p>
            <w:pPr>
              <w:spacing w:after="60" w:before="60"/>
            </w:pPr>
            <w:r>
              <w:rPr>
                <w:b w:val="0"/>
                <w:sz w:val="18"/>
              </w:rPr>
              <w:t>Final UI, reproducible demo, benchmark summary, architecture README, video and submission.</w:t>
            </w:r>
          </w:p>
        </w:tc>
      </w:tr>
    </w:tbl>
    <w:p/>
    <w:p>
      <w:pPr>
        <w:pStyle w:val="Heading2"/>
      </w:pPr>
      <w:r>
        <w:t>Demo storyboard</w:t>
      </w:r>
    </w:p>
    <w:p>
      <w:r>
        <w:t>☐  Explain the duplicate-purchase problem and show the shared budget.</w:t>
      </w:r>
    </w:p>
    <w:p>
      <w:r>
        <w:t>☐  Run two independent agents requesting the same dataset.</w:t>
      </w:r>
    </w:p>
    <w:p>
      <w:r>
        <w:t>☐  Show one actual payment and the second agent waiting.</w:t>
      </w:r>
    </w:p>
    <w:p>
      <w:r>
        <w:t>☐  Show reuse and two completed deliverables.</w:t>
      </w:r>
    </w:p>
    <w:p>
      <w:r>
        <w:t>☐  Show a later decision avoiding an unsuitable prior outcome.</w:t>
      </w:r>
    </w:p>
    <w:p>
      <w:r>
        <w:t>☐  Open the live Graph result and HCS evidence; show spend and reuse.</w:t>
      </w:r>
    </w:p>
    <w:p>
      <w:pPr>
        <w:pStyle w:val="Heading2"/>
      </w:pPr>
      <w:r>
        <w:t>Release checklist</w:t>
      </w:r>
    </w:p>
    <w:p>
      <w:r>
        <w:t>☐  Freeze features before recording; fix only release-blocking bugs.</w:t>
      </w:r>
    </w:p>
    <w:p>
      <w:r>
        <w:t>☐  Test a clean install using the README and example environment file.</w:t>
      </w:r>
    </w:p>
    <w:p>
      <w:r>
        <w:t>☐  Keep credentials out of the repository and video.</w:t>
      </w:r>
    </w:p>
    <w:p>
      <w:r>
        <w:t>☐  Link the public repository, deployed app and sponsor evidence.</w:t>
      </w:r>
    </w:p>
    <w:p>
      <w:r>
        <w:t>☐  Check the current submission rules and video limits before upload.</w:t>
      </w:r>
    </w:p>
    <w:p>
      <w:pPr>
        <w:pStyle w:val="Heading2"/>
      </w:pPr>
      <w:r>
        <w:t>Sponsor reference links</w:t>
      </w:r>
    </w:p>
    <w:p>
      <w:r>
        <w:t>Hedera prize requirements</w:t>
        <w:br/>
        <w:t>https://ethglobal.com/events/ethonline2026/prizes/hedera</w:t>
      </w:r>
    </w:p>
    <w:p>
      <w:r>
        <w:t>The Graph prize requirements</w:t>
        <w:br/>
        <w:t>https://ethglobal.com/events/ethonline2026/prizes/the-graph</w:t>
      </w:r>
    </w:p>
    <w:p>
      <w:pPr>
        <w:pStyle w:val="Heading2"/>
      </w:pPr>
      <w:r>
        <w:t>First team session</w:t>
      </w:r>
    </w:p>
    <w:p>
      <w:r>
        <w:t>Aditya starts the live indexing feasibility check. Kavish starts the controlled Blocky402 payment proof. The lead commits interfaces, fixtures and the mock workflow skeleton. All three review the same event schema before separating into their workstreams.</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ETHOnline 2026 Build Plan</dc:title>
  <dc:subject/>
  <dc:creator>Common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