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RUDRA MEHUL DUDHAT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Mumbai  ·  contact.rdudhat@gmail.com  ·  </w:t>
      </w:r>
      <w:hyperlink w:history="1" r:id="rIdzxqwyqz3e4nvapnbhktts">
        <w:r>
          <w:rPr>
            <w:rFonts w:ascii="Arial" w:cs="Arial" w:eastAsia="Arial" w:hAnsi="Arial"/>
            <w:color w:val="1A56DB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urb-wqn0f1zbb0h8ttq7i">
        <w:r>
          <w:rPr>
            <w:rFonts w:ascii="Arial" w:cs="Arial" w:eastAsia="Arial" w:hAnsi="Arial"/>
            <w:color w:val="1A56DB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1A56DB" w:sz="4" w:space="2"/>
        </w:pBdr>
        <w:spacing w:before="130" w:after="55"/>
      </w:pPr>
      <w:r>
        <w:rPr>
          <w:rFonts w:ascii="Arial" w:cs="Arial" w:eastAsia="Arial" w:hAnsi="Arial"/>
          <w:b/>
          <w:bCs/>
          <w:color w:val="1A56DB"/>
          <w:spacing w:val="40"/>
          <w:sz w:val="18"/>
          <w:szCs w:val="18"/>
        </w:rPr>
        <w:t xml:space="preserve">EDUCATION</w:t>
      </w:r>
    </w:p>
    <w:p>
      <w:pPr>
        <w:tabs>
          <w:tab w:val="right" w:pos="9360"/>
        </w:tabs>
        <w:spacing w:before="90" w:after="18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IIT Bhilai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B.Tech — Data Science &amp; Artificial Intelligence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	Jul 2024 – May 2028</w:t>
      </w:r>
    </w:p>
    <w:p>
      <w:pPr>
        <w:spacing w:before="10" w:after="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CGPA: 9.48 / 10   ·   JEE Advanced Rank: 10,463   ·   Deputy Class Representative</w:t>
      </w:r>
    </w:p>
    <w:p>
      <w:pPr>
        <w:spacing w:before="0" w:after="40"/>
      </w:pPr>
    </w:p>
    <w:p>
      <w:pPr>
        <w:pBdr>
          <w:bottom w:val="single" w:color="1A56DB" w:sz="4" w:space="2"/>
        </w:pBdr>
        <w:spacing w:before="130" w:after="55"/>
      </w:pPr>
      <w:r>
        <w:rPr>
          <w:rFonts w:ascii="Arial" w:cs="Arial" w:eastAsia="Arial" w:hAnsi="Arial"/>
          <w:b/>
          <w:bCs/>
          <w:color w:val="1A56DB"/>
          <w:spacing w:val="40"/>
          <w:sz w:val="18"/>
          <w:szCs w:val="18"/>
        </w:rPr>
        <w:t xml:space="preserve">SKILLS</w:t>
      </w:r>
    </w:p>
    <w:p>
      <w:pPr>
        <w:spacing w:before="0" w:after="20"/>
      </w:pPr>
    </w:p>
    <w:p>
      <w:pPr>
        <w:spacing w:before="26" w:after="26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Python, SQL, Java, C</w:t>
      </w:r>
    </w:p>
    <w:p>
      <w:pPr>
        <w:spacing w:before="26" w:after="26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ML / 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PyTorch, TensorFlow, Scikit-learn, LightGBM, CatBoost, Pandas, NumPy, SHAP</w:t>
      </w:r>
    </w:p>
    <w:p>
      <w:pPr>
        <w:spacing w:before="26" w:after="26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LLM &amp; GenAI: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LangChain, OpenAI API, Hugging Face, RAG, Prompt Engineering, Ollama</w:t>
      </w:r>
    </w:p>
    <w:p>
      <w:pPr>
        <w:spacing w:before="26" w:after="26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Infra &amp; DevOps: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AWS (EC2, Elastic Beanstalk), Firebase, Docker, GitHub Actions, CI/CD</w:t>
      </w:r>
    </w:p>
    <w:p>
      <w:pPr>
        <w:spacing w:before="26" w:after="26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Web: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Flask, Streamlit, Gradio</w:t>
      </w:r>
    </w:p>
    <w:p>
      <w:pPr>
        <w:spacing w:before="0" w:after="30"/>
      </w:pPr>
    </w:p>
    <w:p>
      <w:pPr>
        <w:pBdr>
          <w:bottom w:val="single" w:color="1A56DB" w:sz="4" w:space="2"/>
        </w:pBdr>
        <w:spacing w:before="130" w:after="55"/>
      </w:pPr>
      <w:r>
        <w:rPr>
          <w:rFonts w:ascii="Arial" w:cs="Arial" w:eastAsia="Arial" w:hAnsi="Arial"/>
          <w:b/>
          <w:bCs/>
          <w:color w:val="1A56DB"/>
          <w:spacing w:val="40"/>
          <w:sz w:val="18"/>
          <w:szCs w:val="18"/>
        </w:rPr>
        <w:t xml:space="preserve">PROJECTS</w:t>
      </w:r>
    </w:p>
    <w:p>
      <w:pPr>
        <w:tabs>
          <w:tab w:val="right" w:pos="9360"/>
        </w:tabs>
        <w:spacing w:before="90" w:after="18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Cascade AI — Multi-Agent AI Platform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Live · Firebase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	2025</w:t>
      </w:r>
    </w:p>
    <w:p>
      <w:pPr>
        <w:spacing w:before="0" w:after="16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Python · OpenAI API · LangChain · Firebase Functions · GCS · Firestore · Cheerio · pdf-parse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Built and deployed a backend platform where an LLM planner decomposes user tasks into a pipeline of specialized agents — web search, scraper, auditor, router, and formatter — executed in sequence via Firebase Cloud Functions.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Implemented a parallel research pipeline: generates multiple search queries, scrapes and audits candidate pages concurrently, then synthesizes results into structured outputs (Slack, PDF, email).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Designed a self-healing router agent system with conditional branching (if_true / if_false), stable step IDs, and automatic index correction to keep multi-step pipelines from breaking mid-run.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Handles user context via Firestore, large intermediate data via GCS, and personalizes agent behavior using a per-user onboarding quiz stored as private memory.</w:t>
      </w:r>
    </w:p>
    <w:p>
      <w:pPr>
        <w:spacing w:before="0" w:after="36"/>
      </w:pPr>
    </w:p>
    <w:p>
      <w:pPr>
        <w:tabs>
          <w:tab w:val="right" w:pos="9360"/>
        </w:tabs>
        <w:spacing w:before="90" w:after="18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OptiQuant — Full-Stack ML Trading App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hyperlink w:history="1" r:id="rIdccxdyn4ncpnepdkhcmbdh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·  AWS · Live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	Jul 2025</w:t>
      </w:r>
    </w:p>
    <w:p>
      <w:pPr>
        <w:spacing w:before="0" w:after="16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Python · LightGBM · CatBoost · Random Forest · SHAP · Streamlit · Docker · AWS EC2 · GitHub Actions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Built an end-to-end ML application — from feature engineering and ensemble model training to a deployed Streamlit interface — for generating and explaining stock alpha signals.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Designed a walk-forward backtesting framework that retrains and validates across rolling time windows, preventing data leakage and stress-testing model generalization.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Deployed on AWS EC2 via Docker with GitHub Actions CI/CD, enabling automated redeployment and rollback on model updates. Achieved Sharpe Ratio of 1.05, Calmar Ratio of 1.41, CAGR of 28.16%, Max Drawdown of -20.00%, and Win Rate of 53.92%.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Integrated SHAP explainability layer into the UI so users can inspect per-prediction feature contributions — making model behavior transparent, not just a black box.</w:t>
      </w:r>
    </w:p>
    <w:p>
      <w:pPr>
        <w:spacing w:before="0" w:after="36"/>
      </w:pPr>
    </w:p>
    <w:p>
      <w:pPr>
        <w:pBdr>
          <w:bottom w:val="single" w:color="1A56DB" w:sz="4" w:space="2"/>
        </w:pBdr>
        <w:spacing w:before="130" w:after="55"/>
      </w:pPr>
      <w:r>
        <w:rPr>
          <w:rFonts w:ascii="Arial" w:cs="Arial" w:eastAsia="Arial" w:hAnsi="Arial"/>
          <w:b/>
          <w:bCs/>
          <w:color w:val="1A56DB"/>
          <w:spacing w:val="40"/>
          <w:sz w:val="18"/>
          <w:szCs w:val="18"/>
        </w:rPr>
        <w:t xml:space="preserve">EXPERIENCE &amp; LEADERSHIP</w:t>
      </w:r>
    </w:p>
    <w:p>
      <w:pPr>
        <w:tabs>
          <w:tab w:val="right" w:pos="9360"/>
        </w:tabs>
        <w:spacing w:before="90" w:after="18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Core Member — DS&amp;AI Club, IIT Bhilai</w:t>
      </w:r>
      <w:r>
        <w:t xml:space="preserve"/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	Jul 2025 – Present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Led a 12-person team organizing AI/GenAI workshops and industry sessions for 200+ students; handled speaker outreach, scheduling, and post-event writeups.</w:t>
      </w:r>
    </w:p>
    <w:p>
      <w:pPr>
        <w:spacing w:before="0" w:after="26"/>
      </w:pPr>
    </w:p>
    <w:p>
      <w:pPr>
        <w:tabs>
          <w:tab w:val="right" w:pos="9360"/>
        </w:tabs>
        <w:spacing w:before="90" w:after="18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Placement Volunteer — CCPS, IIT Bhilai</w:t>
      </w:r>
      <w:r>
        <w:t xml:space="preserve"/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	Jul 2025 – Present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Coordinated recruitment for 15+ companies serving 100+ students; ran cold outreach to 50+ firms and onboarded 2 new recruiters through persistent follow-up.</w:t>
      </w:r>
    </w:p>
    <w:p>
      <w:pPr>
        <w:spacing w:before="0" w:after="36"/>
      </w:pPr>
    </w:p>
    <w:p>
      <w:pPr>
        <w:pBdr>
          <w:bottom w:val="single" w:color="1A56DB" w:sz="4" w:space="2"/>
        </w:pBdr>
        <w:spacing w:before="130" w:after="55"/>
      </w:pPr>
      <w:r>
        <w:rPr>
          <w:rFonts w:ascii="Arial" w:cs="Arial" w:eastAsia="Arial" w:hAnsi="Arial"/>
          <w:b/>
          <w:bCs/>
          <w:color w:val="1A56DB"/>
          <w:spacing w:val="40"/>
          <w:sz w:val="18"/>
          <w:szCs w:val="18"/>
        </w:rPr>
        <w:t xml:space="preserve">CERTIFICATIONS</w:t>
      </w:r>
    </w:p>
    <w:p>
      <w:pPr>
        <w:spacing w:before="0" w:after="16"/>
      </w:pP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Complete Data Science, ML, DL, NLP Bootcamp — Krish Naik, Udemy (Aug 2025)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BCG Data Science Job Simulation — Forage: churn prediction, 50% recall (Jun 2025)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JPMorgan Quantitative Research Virtual Program — Forage: loan default model (Jun 2025)</w:t>
      </w:r>
    </w:p>
    <w:p>
      <w:pPr>
        <w:spacing w:before="0" w:after="10"/>
      </w:pPr>
    </w:p>
    <w:sectPr>
      <w:pgSz w:w="12240" w:h="15840" w:orient="portrait"/>
      <w:pgMar w:top="650" w:right="1000" w:bottom="6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xqwyqz3e4nvapnbhktts" Type="http://schemas.openxmlformats.org/officeDocument/2006/relationships/hyperlink" Target="https://www.linkedin.com/in/rdudhat-iitbhilai/" TargetMode="External"/><Relationship Id="rIdurb-wqn0f1zbb0h8ttq7i" Type="http://schemas.openxmlformats.org/officeDocument/2006/relationships/hyperlink" Target="https://github.com/RudraDudhat2509" TargetMode="External"/><Relationship Id="rIdccxdyn4ncpnepdkhcmbdh" Type="http://schemas.openxmlformats.org/officeDocument/2006/relationships/hyperlink" Target="https://github.com/RudraDudhat2509/OptiQuant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2026-02-17T09:56:18.512Z</dcterms:created>
  <dcterms:modified xsi:type="dcterms:W3CDTF">2026-02-17T09:56:18.513Z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