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AAA Mafia Environment Design Bible</w:t>
      </w:r>
    </w:p>
    <w:p>
      <w:pPr>
        <w:pStyle w:val="Heading2"/>
      </w:pPr>
      <w:r>
        <w:t>Section 1</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3</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4</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5</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6</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7</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8</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9</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10</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11</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12</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13</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14</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15</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16</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17</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18</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19</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20</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21</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22</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23</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24</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25</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26</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27</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28</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29</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p>
      <w:pPr>
        <w:pStyle w:val="Heading2"/>
      </w:pPr>
      <w:r>
        <w:t>Section 30</w:t>
      </w:r>
    </w:p>
    <w:p>
      <w:r>
        <w:t xml:space="preserve">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This section provides exhaustive art direction for the background environment of the Mafia game. Design every environment as a cinematic isometric diorama that supports only the existing UI. Reserve generous negative space for the interface. Use modular floating platforms, layered lighting, PBR materials, atmospheric storytelling, clean geometry, intentional props, depth through elevation, soft volumetric lighting, filmic color grading, handcrafted architecture, readable silhouettes, and desktop/mobile safe zones. Never include avatars, microphones, chat, maps, or features absent from the game. Every object should reinforce mystery, deception, investigation, and deduction. Explain modeling, bevel sizes, edge wear, texture density, roughness variation, AO, reflections, camera framing, composition, prop placement, platform hierarchy, focal hierarchy, and render quality. Create variants for detective HQ, noir, cyberpunk, Edo, gothic, bunker, casino, and steampunk while preserving layout.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