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AI AUDITOR SYSTEM</w:t>
      </w:r>
    </w:p>
    <w:p>
      <w:pPr>
        <w:jc w:val="center"/>
      </w:pPr>
      <w:r>
        <w:rPr>
          <w:b/>
          <w:color w:val="2E75B6"/>
          <w:sz w:val="28"/>
        </w:rPr>
        <w:t>End-to-End Flow — Deep Dive Example</w:t>
      </w:r>
    </w:p>
    <w:p>
      <w:pPr>
        <w:jc w:val="center"/>
      </w:pPr>
      <w:r>
        <w:rPr>
          <w:i/>
          <w:color w:val="404040"/>
          <w:sz w:val="22"/>
        </w:rPr>
        <w:t>All Scenarios Covered  |  JNJ TPI Due Diligence Audit</w:t>
      </w:r>
    </w:p>
    <w:p/>
    <w:p>
      <w:pPr>
        <w:spacing w:before="80" w:after="80"/>
      </w:pPr>
      <w:r>
        <w:rPr>
          <w:color w:val="D6E4F0"/>
          <w:sz w:val="14"/>
        </w:rPr>
        <w:t>────────────────────────────────────────────────────────────────────────────────────────────────────</w:t>
      </w:r>
    </w:p>
    <w:p>
      <w:pPr>
        <w:pStyle w:val="Heading1"/>
        <w:spacing w:before="280" w:after="80"/>
      </w:pPr>
      <w:r>
        <w:rPr>
          <w:color w:val="1F4E78"/>
          <w:sz w:val="32"/>
        </w:rPr>
        <w:t>AUDIT SETUP</w:t>
      </w:r>
    </w:p>
    <w:tbl>
      <w:tblPr>
        <w:tblStyle w:val="TableGrid"/>
        <w:tblW w:type="auto" w:w="0"/>
        <w:tblLook w:firstColumn="1" w:firstRow="1" w:lastColumn="0" w:lastRow="0" w:noHBand="0" w:noVBand="1" w:val="04A0"/>
      </w:tblPr>
      <w:tblGrid>
        <w:gridCol w:w="4873"/>
        <w:gridCol w:w="4873"/>
      </w:tblGrid>
      <w:tr>
        <w:tc>
          <w:tcPr>
            <w:tcW w:type="dxa" w:w="3168"/>
            <w:shd w:val="clear" w:color="auto" w:fill="1F4E78"/>
          </w:tcPr>
          <w:p>
            <w:r>
              <w:rPr>
                <w:b/>
                <w:color w:val="FFFFFF"/>
                <w:sz w:val="18"/>
              </w:rPr>
              <w:t>Company</w:t>
            </w:r>
          </w:p>
        </w:tc>
        <w:tc>
          <w:tcPr>
            <w:tcW w:type="dxa" w:w="4873"/>
            <w:shd w:val="clear" w:color="auto" w:fill="F2F2F2"/>
          </w:tcPr>
          <w:p>
            <w:r>
              <w:rPr>
                <w:sz w:val="18"/>
              </w:rPr>
              <w:t>PharmaCo Asia Pte Ltd</w:t>
            </w:r>
          </w:p>
        </w:tc>
      </w:tr>
      <w:tr>
        <w:tc>
          <w:tcPr>
            <w:tcW w:type="dxa" w:w="3168"/>
            <w:shd w:val="clear" w:color="auto" w:fill="1F4E78"/>
          </w:tcPr>
          <w:p>
            <w:r>
              <w:rPr>
                <w:b/>
                <w:color w:val="FFFFFF"/>
                <w:sz w:val="18"/>
              </w:rPr>
              <w:t>TPI Under Review</w:t>
            </w:r>
          </w:p>
        </w:tc>
        <w:tc>
          <w:tcPr>
            <w:tcW w:type="dxa" w:w="4873"/>
            <w:shd w:val="clear" w:color="auto" w:fill="F2F2F2"/>
          </w:tcPr>
          <w:p>
            <w:r>
              <w:rPr>
                <w:sz w:val="18"/>
              </w:rPr>
              <w:t>MediCo Distribution Ltd  (pharmaceutical distributor, Thailand &amp; Vietnam)</w:t>
            </w:r>
          </w:p>
        </w:tc>
      </w:tr>
      <w:tr>
        <w:tc>
          <w:tcPr>
            <w:tcW w:type="dxa" w:w="3168"/>
            <w:shd w:val="clear" w:color="auto" w:fill="1F4E78"/>
          </w:tcPr>
          <w:p>
            <w:r>
              <w:rPr>
                <w:b/>
                <w:color w:val="FFFFFF"/>
                <w:sz w:val="18"/>
              </w:rPr>
              <w:t>Scope ID</w:t>
            </w:r>
          </w:p>
        </w:tc>
        <w:tc>
          <w:tcPr>
            <w:tcW w:type="dxa" w:w="4873"/>
            <w:shd w:val="clear" w:color="auto" w:fill="F2F2F2"/>
          </w:tcPr>
          <w:p>
            <w:r>
              <w:rPr>
                <w:sz w:val="18"/>
              </w:rPr>
              <w:t>TPI_DD_SE_ASIA</w:t>
            </w:r>
          </w:p>
        </w:tc>
      </w:tr>
      <w:tr>
        <w:tc>
          <w:tcPr>
            <w:tcW w:type="dxa" w:w="3168"/>
            <w:shd w:val="clear" w:color="auto" w:fill="1F4E78"/>
          </w:tcPr>
          <w:p>
            <w:r>
              <w:rPr>
                <w:b/>
                <w:color w:val="FFFFFF"/>
                <w:sz w:val="18"/>
              </w:rPr>
              <w:t>Input Sources</w:t>
            </w:r>
          </w:p>
        </w:tc>
        <w:tc>
          <w:tcPr>
            <w:tcW w:type="dxa" w:w="4873"/>
            <w:shd w:val="clear" w:color="auto" w:fill="F2F2F2"/>
          </w:tcPr>
          <w:p>
            <w:r>
              <w:rPr>
                <w:sz w:val="18"/>
              </w:rPr>
              <w:t>IDR questionnaire (3 questions)  +  Planning questionnaire (1 question)</w:t>
            </w:r>
          </w:p>
        </w:tc>
      </w:tr>
      <w:tr>
        <w:tc>
          <w:tcPr>
            <w:tcW w:type="dxa" w:w="3168"/>
            <w:shd w:val="clear" w:color="auto" w:fill="1F4E78"/>
          </w:tcPr>
          <w:p>
            <w:r>
              <w:rPr>
                <w:b/>
                <w:color w:val="FFFFFF"/>
                <w:sz w:val="18"/>
              </w:rPr>
              <w:t>Separate Process</w:t>
            </w:r>
          </w:p>
        </w:tc>
        <w:tc>
          <w:tcPr>
            <w:tcW w:type="dxa" w:w="4873"/>
            <w:shd w:val="clear" w:color="auto" w:fill="F2F2F2"/>
          </w:tcPr>
          <w:p>
            <w:r>
              <w:rPr>
                <w:sz w:val="18"/>
              </w:rPr>
              <w:t>TransactionalDataAnalysisAgent — runs independently for entire audit</w:t>
            </w:r>
          </w:p>
        </w:tc>
      </w:tr>
    </w:tbl>
    <w:p/>
    <w:p>
      <w:r>
        <w:br w:type="page"/>
      </w:r>
    </w:p>
    <w:p>
      <w:pPr>
        <w:pStyle w:val="Heading1"/>
        <w:spacing w:before="280" w:after="80"/>
      </w:pPr>
      <w:r>
        <w:rPr>
          <w:color w:val="1F4E78"/>
          <w:sz w:val="32"/>
        </w:rPr>
        <w:t>PHASE 1 — SYSTEM STARTUP &amp; DOCUMENT INGESTION  (one-time per audit run)</w:t>
      </w:r>
    </w:p>
    <w:p>
      <w:pPr>
        <w:pStyle w:val="Heading2"/>
        <w:spacing w:before="200" w:after="40"/>
      </w:pPr>
      <w:r>
        <w:rPr>
          <w:color w:val="2E75B6"/>
          <w:sz w:val="26"/>
        </w:rPr>
        <w:t>1.1  OCR Provider Selection</w:t>
      </w:r>
    </w:p>
    <w:p>
      <w:pPr>
        <w:pStyle w:val="ListBullet"/>
        <w:spacing w:after="40"/>
        <w:ind w:left="360"/>
      </w:pPr>
      <w:r>
        <w:rPr>
          <w:sz w:val="20"/>
        </w:rPr>
        <w:t>Settings has azure_document_intelligence_endpoint configured</w:t>
      </w:r>
    </w:p>
    <w:p>
      <w:pPr>
        <w:pStyle w:val="ListBullet"/>
        <w:spacing w:after="40"/>
        <w:ind w:left="360"/>
      </w:pPr>
      <w:r>
        <w:rPr>
          <w:sz w:val="20"/>
        </w:rPr>
        <w:t>OCRProviderFactory → creates AzureDocumentIntelligenceOCRProvider</w:t>
      </w:r>
    </w:p>
    <w:p>
      <w:pPr>
        <w:pStyle w:val="ListBullet"/>
        <w:spacing w:after="40"/>
        <w:ind w:left="360"/>
      </w:pPr>
      <w:r>
        <w:rPr>
          <w:sz w:val="20"/>
        </w:rPr>
        <w:t>Fallback: TesseractOCRProvider if Azure credentials are absent</w:t>
      </w:r>
    </w:p>
    <w:p>
      <w:pPr>
        <w:pStyle w:val="Heading2"/>
        <w:spacing w:before="200" w:after="40"/>
      </w:pPr>
      <w:r>
        <w:rPr>
          <w:color w:val="2E75B6"/>
          <w:sz w:val="26"/>
        </w:rPr>
        <w:t>1.2  Three Ingestion Pipelines</w:t>
      </w:r>
    </w:p>
    <w:p>
      <w:pPr>
        <w:pStyle w:val="Heading3"/>
        <w:spacing w:before="160" w:after="40"/>
      </w:pPr>
      <w:r>
        <w:rPr>
          <w:color w:val="404040"/>
          <w:sz w:val="22"/>
        </w:rPr>
        <w:t>Pipeline A — HCBI + HCC Global Policies  →  hcbi_index</w:t>
      </w:r>
    </w:p>
    <w:p>
      <w:pPr>
        <w:spacing w:after="120"/>
        <w:ind w:left="432"/>
        <w:shd w:val="clear" w:fill="F5F5F5"/>
      </w:pPr>
      <w:r>
        <w:rPr>
          <w:rFonts w:ascii="Courier New" w:hAnsi="Courier New"/>
          <w:color w:val="404040"/>
          <w:sz w:val="17"/>
        </w:rPr>
        <w:t>DocumentLoader.load_directory(</w:t>
        <w:br/>
        <w:t xml:space="preserve">    root_path    = GLOBAL_POLICIES_VOLUME_PATH,</w:t>
        <w:br/>
        <w:t xml:space="preserve">    scope_id     = 'global',          # applies to all 48 scopes</w:t>
        <w:br/>
        <w:t xml:space="preserve">    document_type= DocumentType.GLOBAL_POLICY</w:t>
        <w:br/>
        <w:t>)</w:t>
        <w:br/>
        <w:br/>
        <w:t>rglob('*') finds:</w:t>
        <w:br/>
        <w:t xml:space="preserve">  TV-POL-02257_v3.0.pdf   ← HCBI Guide (115 pages, fully image-based)</w:t>
        <w:br/>
        <w:t xml:space="preserve">  TV-POL-02312_v2.0.pdf   ← HCC Framework</w:t>
      </w:r>
    </w:p>
    <w:p>
      <w:pPr>
        <w:pStyle w:val="ListBullet"/>
        <w:spacing w:after="40"/>
        <w:ind w:left="360"/>
      </w:pPr>
      <w:r>
        <w:rPr>
          <w:sz w:val="20"/>
        </w:rPr>
        <w:t>PdfExtractor runs on HCBI — pdfplumber returns &lt; 20 chars on all 115 pages (image-based PDF)</w:t>
      </w:r>
    </w:p>
    <w:p>
      <w:pPr>
        <w:pStyle w:val="ListBullet"/>
        <w:spacing w:after="40"/>
        <w:ind w:left="360"/>
      </w:pPr>
      <w:r>
        <w:rPr>
          <w:sz w:val="20"/>
        </w:rPr>
        <w:t>Azure DI OCR called for all 115 pages</w:t>
      </w:r>
    </w:p>
    <w:p>
      <w:pPr>
        <w:pStyle w:val="ListBullet"/>
        <w:spacing w:after="40"/>
        <w:ind w:left="360"/>
      </w:pPr>
      <w:r>
        <w:rPr>
          <w:sz w:val="20"/>
        </w:rPr>
        <w:t>[PAGE:1] … [PAGE:115] markers injected between pages so chunker tracks page_number</w:t>
      </w:r>
    </w:p>
    <w:p>
      <w:pPr>
        <w:pStyle w:val="ListBullet"/>
        <w:spacing w:after="40"/>
        <w:ind w:left="360"/>
      </w:pPr>
      <w:r>
        <w:rPr>
          <w:sz w:val="20"/>
        </w:rPr>
        <w:t>MetadataExtractor.enrich() from filename → policy_number='TV-POL-02257', version='v3.0', policy_domain='HCBI'</w:t>
      </w:r>
    </w:p>
    <w:p>
      <w:pPr>
        <w:pStyle w:val="ListBullet"/>
        <w:spacing w:after="40"/>
        <w:ind w:left="360"/>
      </w:pPr>
      <w:r>
        <w:rPr>
          <w:sz w:val="20"/>
        </w:rPr>
        <w:t>MetadataExtractor.extract_header_metadata() → effective_date='2023-06-01', policy_owner='Global Compliance'</w:t>
      </w:r>
    </w:p>
    <w:p>
      <w:pPr>
        <w:pStyle w:val="ListBullet"/>
        <w:spacing w:after="40"/>
        <w:ind w:left="360"/>
      </w:pPr>
      <w:r>
        <w:rPr>
          <w:sz w:val="20"/>
        </w:rPr>
        <w:t>Chunker.chunk() → 340 DocumentChunks, each with full ChunkMetadata</w:t>
      </w:r>
    </w:p>
    <w:p>
      <w:pPr>
        <w:spacing w:after="120"/>
        <w:ind w:left="432"/>
        <w:shd w:val="clear" w:fill="F5F5F5"/>
      </w:pPr>
      <w:r>
        <w:rPr>
          <w:rFonts w:ascii="Courier New" w:hAnsi="Courier New"/>
          <w:color w:val="404040"/>
          <w:sz w:val="17"/>
        </w:rPr>
        <w:t>Sample ChunkMetadata:</w:t>
        <w:br/>
        <w:t xml:space="preserve">  document_type  = GLOBAL_POLICY</w:t>
        <w:br/>
        <w:t xml:space="preserve">  policy_number  = 'TV-POL-02257'</w:t>
        <w:br/>
        <w:t xml:space="preserve">  version        = 'v3.0'</w:t>
        <w:br/>
        <w:t xml:space="preserve">  effective_date = '2023-06-01'</w:t>
        <w:br/>
        <w:t xml:space="preserve">  policy_owner   = 'Global Compliance'</w:t>
        <w:br/>
        <w:t xml:space="preserve">  section_no     = '4.2'</w:t>
        <w:br/>
        <w:t xml:space="preserve">  section_title  = 'Payments to Government Officials'</w:t>
        <w:br/>
        <w:t xml:space="preserve">  page_number    = 47</w:t>
        <w:br/>
        <w:t xml:space="preserve">  index_name     = 'hcbi_index'</w:t>
      </w:r>
    </w:p>
    <w:p>
      <w:pPr>
        <w:pStyle w:val="ListBullet"/>
        <w:spacing w:after="40"/>
        <w:ind w:left="360"/>
      </w:pPr>
      <w:r>
        <w:rPr>
          <w:sz w:val="20"/>
        </w:rPr>
        <w:t>All 340 chunks embedded (text-embedding-3-small) → stored in hcbi_index</w:t>
      </w:r>
    </w:p>
    <w:p>
      <w:pPr>
        <w:pStyle w:val="Heading3"/>
        <w:spacing w:before="160" w:after="40"/>
      </w:pPr>
      <w:r>
        <w:rPr>
          <w:color w:val="404040"/>
          <w:sz w:val="22"/>
        </w:rPr>
        <w:t>Pipeline B — TPI Due Diligence Policies  →  due_diligence_index</w:t>
      </w:r>
    </w:p>
    <w:p>
      <w:pPr>
        <w:spacing w:after="120"/>
        <w:ind w:left="432"/>
        <w:shd w:val="clear" w:fill="F5F5F5"/>
      </w:pPr>
      <w:r>
        <w:rPr>
          <w:rFonts w:ascii="Courier New" w:hAnsi="Courier New"/>
          <w:color w:val="404040"/>
          <w:sz w:val="17"/>
        </w:rPr>
        <w:t>DocumentLoader.load_directory(</w:t>
        <w:br/>
        <w:t xml:space="preserve">    root_path     = POLICY_VOLUME_PATH,</w:t>
        <w:br/>
        <w:t xml:space="preserve">    scope_id      = 'TPI_DD_SE_ASIA',</w:t>
        <w:br/>
        <w:t xml:space="preserve">    document_type = DocumentType.TPI_POLICY</w:t>
        <w:br/>
        <w:t>)</w:t>
        <w:br/>
        <w:br/>
        <w:t>17 policy files processed recursively</w:t>
        <w:br/>
        <w:t>policy_domain = 'THIRD_PARTY_INTERMEDIARY' applied as default for all</w:t>
        <w:br/>
        <w:t>~890 chunks → stored in due_diligence_index</w:t>
      </w:r>
    </w:p>
    <w:p>
      <w:pPr>
        <w:pStyle w:val="Heading3"/>
        <w:spacing w:before="160" w:after="40"/>
      </w:pPr>
      <w:r>
        <w:rPr>
          <w:color w:val="404040"/>
          <w:sz w:val="22"/>
        </w:rPr>
        <w:t>Pipeline C — Supporting Documents  →  supporting_docs_index</w:t>
      </w:r>
    </w:p>
    <w:p>
      <w:pPr>
        <w:spacing w:after="120"/>
        <w:ind w:left="432"/>
        <w:shd w:val="clear" w:fill="F5F5F5"/>
      </w:pPr>
      <w:r>
        <w:rPr>
          <w:rFonts w:ascii="Courier New" w:hAnsi="Courier New"/>
          <w:color w:val="404040"/>
          <w:sz w:val="17"/>
        </w:rPr>
        <w:t>DocumentLoader.load_directory(</w:t>
        <w:br/>
        <w:t xml:space="preserve">    root_path     = SUPPORTING_DOCS_VOLUME_PATH,</w:t>
        <w:br/>
        <w:t xml:space="preserve">    scope_id      = 'TPI_DD_SE_ASIA',</w:t>
        <w:br/>
        <w:t xml:space="preserve">    document_type = DocumentType.SUPPORTING_DOC</w:t>
        <w:br/>
        <w:t>)</w:t>
        <w:br/>
        <w:br/>
        <w:t>rglob finds 84 files across nested folders:</w:t>
        <w:br/>
        <w:t xml:space="preserve">  /contracts/MediCo_Agreement_2024.pdf</w:t>
        <w:br/>
        <w:t xml:space="preserve">  /emails/MediCo_tender_Thailand_MOH.msg</w:t>
        <w:br/>
        <w:t xml:space="preserve">  /financials/FY2025_Payment_Summary.xlsx</w:t>
        <w:br/>
        <w:t xml:space="preserve">  /due_diligence/MediCo_DD_Report_2023.docx</w:t>
        <w:br/>
        <w:br/>
        <w:t>Each format → its own extractor + OCR for embedded images</w:t>
        <w:br/>
        <w:t>~1,200 chunks → stored in supporting_docs_index</w:t>
      </w:r>
    </w:p>
    <w:p>
      <w:pPr>
        <w:pStyle w:val="Heading2"/>
        <w:spacing w:before="200" w:after="40"/>
      </w:pPr>
      <w:r>
        <w:rPr>
          <w:color w:val="2E75B6"/>
          <w:sz w:val="26"/>
        </w:rPr>
        <w:t>1.3  Agent Initialization</w:t>
      </w:r>
    </w:p>
    <w:p>
      <w:pPr>
        <w:spacing w:after="120"/>
        <w:ind w:left="432"/>
        <w:shd w:val="clear" w:fill="F5F5F5"/>
      </w:pPr>
      <w:r>
        <w:rPr>
          <w:rFonts w:ascii="Courier New" w:hAnsi="Courier New"/>
          <w:color w:val="404040"/>
          <w:sz w:val="17"/>
        </w:rPr>
        <w:t>hcbi_policy_agent         = HcbiPolicyAgent(llm, hcbi_tool)</w:t>
        <w:br/>
        <w:t>policy_knowledge_agent    = PolicyKnowledgeAgent(llm, policy_tool)</w:t>
        <w:br/>
        <w:t>supporting_docs_agent     = SupportingDocsAgent(llm, evidence_tool)</w:t>
        <w:br/>
        <w:t>risk_evaluation_agent     = RiskEvaluationAgent(llm)</w:t>
        <w:br/>
        <w:t>transactional_data_agent  = TransactionalDataAgent(llm, settings)</w:t>
        <w:br/>
        <w:t>risk_analyzer_agent       = RiskAnalyzerAgent(llm)</w:t>
        <w:br/>
        <w:t>supervisor                = AuditSupervisor(llm, all_agents)</w:t>
        <w:br/>
        <w:br/>
        <w:t># TransactionalDataAnalysisAgent runs separately — not via supervisor</w:t>
        <w:br/>
        <w:t>analysis_agent = TransactionalDataAnalysisAgent(settings)</w:t>
      </w:r>
    </w:p>
    <w:p>
      <w:r>
        <w:br w:type="page"/>
      </w:r>
    </w:p>
    <w:p>
      <w:pPr>
        <w:pStyle w:val="Heading1"/>
        <w:spacing w:before="280" w:after="80"/>
      </w:pPr>
      <w:r>
        <w:rPr>
          <w:color w:val="1F4E78"/>
          <w:sz w:val="32"/>
        </w:rPr>
        <w:t>PHASE 2 — QUESTION PROCESSING LOOP</w:t>
      </w:r>
    </w:p>
    <w:p>
      <w:pPr>
        <w:spacing w:after="80"/>
      </w:pPr>
      <w:r>
        <w:rPr>
          <w:b w:val="0"/>
          <w:i/>
          <w:sz w:val="20"/>
        </w:rPr>
        <w:t>The pipeline reads one row at a time from the IDR and Planning Delta tables and processes each through the supervisor. Each question follows the flow below.</w:t>
      </w:r>
    </w:p>
    <w:p>
      <w:pPr>
        <w:spacing w:before="80" w:after="80"/>
      </w:pPr>
      <w:r>
        <w:rPr>
          <w:color w:val="D6E4F0"/>
          <w:sz w:val="14"/>
        </w:rPr>
        <w:t>────────────────────────────────────────────────────────────────────────────────────────────────────</w:t>
      </w:r>
    </w:p>
    <w:p>
      <w:pPr>
        <w:pStyle w:val="Heading2"/>
        <w:spacing w:before="200" w:after="40"/>
      </w:pPr>
      <w:r>
        <w:rPr>
          <w:color w:val="2E75B6"/>
          <w:sz w:val="26"/>
        </w:rPr>
        <w:t>SCENARIO 1 — NO RISK  (Agreement Confirmed by Evidence)</w:t>
      </w:r>
    </w:p>
    <w:p>
      <w:r>
        <w:rPr>
          <w:b/>
          <w:color w:val="1F4E78"/>
          <w:sz w:val="20"/>
        </w:rPr>
        <w:t xml:space="preserve">  ▶  INPUT ROW (IDR)  </w:t>
      </w:r>
    </w:p>
    <w:p>
      <w:pPr>
        <w:spacing w:after="120"/>
        <w:ind w:left="432"/>
        <w:shd w:val="clear" w:fill="F5F5F5"/>
      </w:pPr>
      <w:r>
        <w:rPr>
          <w:rFonts w:ascii="Courier New" w:hAnsi="Courier New"/>
          <w:color w:val="404040"/>
          <w:sz w:val="17"/>
        </w:rPr>
        <w:t>unique_id:          IDR-Q-001</w:t>
        <w:br/>
        <w:t>question:           'What is the nature of services provided by MediCo Distribution Ltd</w:t>
        <w:br/>
        <w:t xml:space="preserve">                     and is there an executed agreement in place?'</w:t>
        <w:br/>
        <w:t>company_response:   'MediCo provides pharmaceutical distribution services across Thailand</w:t>
        <w:br/>
        <w:t xml:space="preserve">                     and Vietnam. A signed Master Distribution Agreement dated 15 January</w:t>
        <w:br/>
        <w:t xml:space="preserve">                     2024 is in place and covers all commercial activities.'</w:t>
        <w:br/>
        <w:t>supporting_document:'MediCo_Agreement_2024.pdf'</w:t>
        <w:br/>
        <w:t>followup_question:   null</w:t>
        <w:br/>
        <w:t>followup_response:   null</w:t>
      </w:r>
    </w:p>
    <w:p>
      <w:pPr>
        <w:pStyle w:val="Heading3"/>
        <w:spacing w:before="160" w:after="40"/>
      </w:pPr>
      <w:r>
        <w:rPr>
          <w:color w:val="404040"/>
          <w:sz w:val="22"/>
        </w:rPr>
        <w:t>Supervisor Routing Decision</w:t>
      </w:r>
    </w:p>
    <w:p>
      <w:pPr>
        <w:pStyle w:val="ListBullet"/>
        <w:spacing w:after="40"/>
        <w:ind w:left="360"/>
      </w:pPr>
      <w:r>
        <w:rPr>
          <w:sz w:val="20"/>
        </w:rPr>
        <w:t>No financial claim keywords detected  (no amounts, GL codes, payment figures)</w:t>
      </w:r>
    </w:p>
    <w:p>
      <w:pPr>
        <w:pStyle w:val="ListBullet"/>
        <w:spacing w:after="40"/>
        <w:ind w:left="360"/>
      </w:pPr>
      <w:r>
        <w:rPr>
          <w:sz w:val="20"/>
        </w:rPr>
        <w:t>Routes to: hcbi_policy_agent, policy_knowledge_agent, supporting_docs_agent, risk_evaluation_agent, risk_analyzer_agent</w:t>
      </w:r>
    </w:p>
    <w:p>
      <w:pPr>
        <w:pStyle w:val="ListBullet"/>
        <w:spacing w:after="40"/>
        <w:ind w:left="360"/>
      </w:pPr>
      <w:r>
        <w:rPr>
          <w:sz w:val="20"/>
        </w:rPr>
        <w:t>Does NOT route to transactional_data_agent</w:t>
      </w:r>
    </w:p>
    <w:p>
      <w:pPr>
        <w:pStyle w:val="Heading3"/>
        <w:spacing w:before="160" w:after="40"/>
      </w:pPr>
      <w:r>
        <w:rPr>
          <w:color w:val="404040"/>
          <w:sz w:val="22"/>
        </w:rPr>
        <w:t>HcbiPolicyAgent</w:t>
      </w:r>
    </w:p>
    <w:p>
      <w:pPr>
        <w:pStyle w:val="ListBullet"/>
        <w:spacing w:after="40"/>
        <w:ind w:left="360"/>
      </w:pPr>
      <w:r>
        <w:rPr>
          <w:sz w:val="20"/>
        </w:rPr>
        <w:t>Query: 'TPI agreement requirement distribution services pharmaceutical'</w:t>
      </w:r>
    </w:p>
    <w:p>
      <w:pPr>
        <w:pStyle w:val="ListBullet"/>
        <w:spacing w:after="40"/>
        <w:ind w:left="360"/>
      </w:pPr>
      <w:r>
        <w:rPr>
          <w:sz w:val="20"/>
        </w:rPr>
        <w:t>hcbi_index searched — 5 chunks returned:</w:t>
      </w:r>
    </w:p>
    <w:p>
      <w:pPr>
        <w:spacing w:after="120"/>
        <w:ind w:left="432"/>
        <w:shd w:val="clear" w:fill="F5F5F5"/>
      </w:pPr>
      <w:r>
        <w:rPr>
          <w:rFonts w:ascii="Courier New" w:hAnsi="Courier New"/>
          <w:color w:val="404040"/>
          <w:sz w:val="17"/>
        </w:rPr>
        <w:t>Chunk 1 | Section 3.1 'Third Party Engagement Requirements' | page 12 | similarity: 0.91</w:t>
        <w:br/>
        <w:t xml:space="preserve">  → 'All TPIs must have a written agreement in place prior to commencement of services...'</w:t>
        <w:br/>
        <w:br/>
        <w:t>Chunk 2 | Section 4.1 'Distribution Arrangements' | page 34 | similarity: 0.87</w:t>
        <w:br/>
        <w:t xml:space="preserve">  → 'Distribution agreements must be reviewed and approved by Legal and Compliance...'</w:t>
        <w:br/>
        <w:br/>
        <w:t>Chunk 3 | Section 7.2 'Agreement Renewal and Monitoring' | page 89 | similarity: 0.82</w:t>
        <w:br/>
        <w:t xml:space="preserve">  → 'Agreements with TPIs must be renewed annually or before expiry...'</w:t>
      </w:r>
    </w:p>
    <w:p>
      <w:pPr>
        <w:pStyle w:val="Heading3"/>
        <w:spacing w:before="160" w:after="40"/>
      </w:pPr>
      <w:r>
        <w:rPr>
          <w:color w:val="404040"/>
          <w:sz w:val="22"/>
        </w:rPr>
        <w:t>PolicyKnowledgeAgent</w:t>
      </w:r>
    </w:p>
    <w:p>
      <w:pPr>
        <w:pStyle w:val="ListBullet"/>
        <w:spacing w:after="40"/>
        <w:ind w:left="360"/>
      </w:pPr>
      <w:r>
        <w:rPr>
          <w:sz w:val="20"/>
        </w:rPr>
        <w:t>Query: 'TPI distribution agreement executed services Thailand Vietnam'</w:t>
      </w:r>
    </w:p>
    <w:p>
      <w:pPr>
        <w:pStyle w:val="ListBullet"/>
        <w:spacing w:after="40"/>
        <w:ind w:left="360"/>
      </w:pPr>
      <w:r>
        <w:rPr>
          <w:sz w:val="20"/>
        </w:rPr>
        <w:t>due_diligence_index → TPI SE Asia policy chunk returned (similarity: 0.89)</w:t>
      </w:r>
    </w:p>
    <w:p>
      <w:pPr>
        <w:pStyle w:val="Heading3"/>
        <w:spacing w:before="160" w:after="40"/>
      </w:pPr>
      <w:r>
        <w:rPr>
          <w:color w:val="404040"/>
          <w:sz w:val="22"/>
        </w:rPr>
        <w:t>SupportingDocsAgent</w:t>
      </w:r>
    </w:p>
    <w:p>
      <w:pPr>
        <w:pStyle w:val="ListBullet"/>
        <w:spacing w:after="40"/>
        <w:ind w:left="360"/>
      </w:pPr>
      <w:r>
        <w:rPr>
          <w:sz w:val="20"/>
        </w:rPr>
        <w:t>Step 1 — Semantic search: 'MediCo Distribution agreement January 2024 Thailand Vietnam'</w:t>
      </w:r>
    </w:p>
    <w:p>
      <w:pPr>
        <w:spacing w:after="120"/>
        <w:ind w:left="432"/>
        <w:shd w:val="clear" w:fill="F5F5F5"/>
      </w:pPr>
      <w:r>
        <w:rPr>
          <w:rFonts w:ascii="Courier New" w:hAnsi="Courier New"/>
          <w:color w:val="404040"/>
          <w:sz w:val="17"/>
        </w:rPr>
        <w:t>Result from MediCo_Agreement_2024.pdf | page 2 | section 'Agreement Scope' | similarity: 0.95</w:t>
        <w:br/>
        <w:t xml:space="preserve">  → 'This Master Distribution Agreement entered into on 15 January 2024 between</w:t>
        <w:br/>
        <w:t xml:space="preserve">     PharmaCo Asia Pte Ltd and MediCo Distribution Ltd covers distribution of</w:t>
        <w:br/>
        <w:t xml:space="preserve">     pharmaceutical products in Thailand and Vietnam...'</w:t>
      </w:r>
    </w:p>
    <w:p>
      <w:pPr>
        <w:pStyle w:val="ListBullet"/>
        <w:spacing w:after="40"/>
        <w:ind w:left="360"/>
      </w:pPr>
      <w:r>
        <w:rPr>
          <w:sz w:val="20"/>
        </w:rPr>
        <w:t>Step 2 — Targeted search (supporting_document field = 'MediCo_Agreement_2024.pdf') → 3 more specific chunks from the named file</w:t>
      </w:r>
    </w:p>
    <w:p>
      <w:pPr>
        <w:pStyle w:val="Heading3"/>
        <w:spacing w:before="160" w:after="40"/>
      </w:pPr>
      <w:r>
        <w:rPr>
          <w:color w:val="404040"/>
          <w:sz w:val="22"/>
        </w:rPr>
        <w:t>RiskEvaluationAgent</w:t>
      </w:r>
    </w:p>
    <w:p>
      <w:pPr>
        <w:pStyle w:val="ListBullet"/>
        <w:spacing w:after="40"/>
        <w:ind w:left="360"/>
      </w:pPr>
      <w:r>
        <w:rPr>
          <w:sz w:val="20"/>
        </w:rPr>
        <w:t>HCBI Section 3.1 requires written agreement → ✓ Agreement exists (Jan 2024)</w:t>
      </w:r>
    </w:p>
    <w:p>
      <w:pPr>
        <w:pStyle w:val="ListBullet"/>
        <w:spacing w:after="40"/>
        <w:ind w:left="360"/>
      </w:pPr>
      <w:r>
        <w:rPr>
          <w:sz w:val="20"/>
        </w:rPr>
        <w:t>Supporting doc confirms exact date, parties, scope — matches response exactly</w:t>
      </w:r>
    </w:p>
    <w:p>
      <w:pPr>
        <w:pStyle w:val="ListBullet"/>
        <w:spacing w:after="40"/>
        <w:ind w:left="360"/>
      </w:pPr>
      <w:r>
        <w:rPr>
          <w:sz w:val="20"/>
        </w:rPr>
        <w:t>ConflictFlag: has_conflict = False</w:t>
      </w:r>
    </w:p>
    <w:p>
      <w:pPr>
        <w:pStyle w:val="ListBullet"/>
        <w:spacing w:after="40"/>
        <w:ind w:left="360"/>
      </w:pPr>
      <w:r>
        <w:rPr>
          <w:sz w:val="20"/>
        </w:rPr>
        <w:t>evidence_classification = 'A — Supports the response'</w:t>
      </w:r>
    </w:p>
    <w:p>
      <w:pPr>
        <w:pStyle w:val="Heading3"/>
        <w:spacing w:before="160" w:after="40"/>
      </w:pPr>
      <w:r>
        <w:rPr>
          <w:color w:val="404040"/>
          <w:sz w:val="22"/>
        </w:rPr>
        <w:t>RiskAnalyzerAgent Output</w:t>
      </w:r>
    </w:p>
    <w:p>
      <w:pPr>
        <w:spacing w:after="120"/>
        <w:ind w:left="432"/>
        <w:shd w:val="clear" w:fill="F5F5F5"/>
      </w:pPr>
      <w:r>
        <w:rPr>
          <w:rFonts w:ascii="Courier New" w:hAnsi="Courier New"/>
          <w:color w:val="404040"/>
          <w:sz w:val="17"/>
        </w:rPr>
        <w:t>risk_title  = RiskType.NO_RISK     ('No Risk Identified')</w:t>
        <w:br/>
        <w:t>risk_score  = 1.5</w:t>
        <w:br/>
        <w:t>...all evidence supports response, no breach, no missing document</w:t>
      </w:r>
    </w:p>
    <w:p>
      <w:pPr>
        <w:spacing w:after="80"/>
      </w:pPr>
      <w:r>
        <w:rPr>
          <w:b/>
          <w:i w:val="0"/>
          <w:color w:val="007000"/>
          <w:sz w:val="20"/>
        </w:rPr>
        <w:t>⛔  ROW NOT WRITTEN TO OUTPUT — No Risk rows are never included in the final Excel.</w:t>
      </w:r>
    </w:p>
    <w:p>
      <w:pPr>
        <w:spacing w:before="80" w:after="80"/>
      </w:pPr>
      <w:r>
        <w:rPr>
          <w:color w:val="D6E4F0"/>
          <w:sz w:val="14"/>
        </w:rPr>
        <w:t>────────────────────────────────────────────────────────────────────────────────────────────────────</w:t>
      </w:r>
    </w:p>
    <w:p>
      <w:r>
        <w:br w:type="page"/>
      </w:r>
    </w:p>
    <w:p>
      <w:pPr>
        <w:pStyle w:val="Heading2"/>
        <w:spacing w:before="200" w:after="40"/>
      </w:pPr>
      <w:r>
        <w:rPr>
          <w:color w:val="2E75B6"/>
          <w:sz w:val="26"/>
        </w:rPr>
        <w:t>SCENARIO 2 — POTENTIAL RISK  (NL-to-SQL Transactional Cross-Validation)</w:t>
      </w:r>
    </w:p>
    <w:p>
      <w:pPr>
        <w:spacing w:after="120"/>
        <w:ind w:left="432"/>
        <w:shd w:val="clear" w:fill="F5F5F5"/>
      </w:pPr>
      <w:r>
        <w:rPr>
          <w:rFonts w:ascii="Courier New" w:hAnsi="Courier New"/>
          <w:color w:val="404040"/>
          <w:sz w:val="17"/>
        </w:rPr>
        <w:t>unique_id:          IDR-Q-002</w:t>
        <w:br/>
        <w:t>question:           'Please confirm total payments made to MediCo Distribution Ltd</w:t>
        <w:br/>
        <w:t xml:space="preserve">                     in FY2025 and confirm the GL accounts used for these payments.'</w:t>
        <w:br/>
        <w:t>company_response:   'Total payments of USD 520,000 were made to MediCo Distribution Ltd</w:t>
        <w:br/>
        <w:t xml:space="preserve">                     in FY2025. All payments were processed using GL Account 600200.'</w:t>
        <w:br/>
        <w:t>followup_question:  'Can you confirm there were no payments processed outside GL Account 600200?'</w:t>
        <w:br/>
        <w:t>followup_response:  'Confirmed — all payments to MediCo were exclusively through GL Account 600200.'</w:t>
      </w:r>
    </w:p>
    <w:p>
      <w:pPr>
        <w:pStyle w:val="Heading3"/>
        <w:spacing w:before="160" w:after="40"/>
      </w:pPr>
      <w:r>
        <w:rPr>
          <w:color w:val="404040"/>
          <w:sz w:val="22"/>
        </w:rPr>
        <w:t>Supervisor Routing Decision</w:t>
      </w:r>
    </w:p>
    <w:p>
      <w:pPr>
        <w:pStyle w:val="ListBullet"/>
        <w:spacing w:after="40"/>
        <w:ind w:left="360"/>
      </w:pPr>
      <w:r>
        <w:rPr>
          <w:sz w:val="20"/>
        </w:rPr>
        <w:t>Detects financial claim keywords: 'total payments', 'USD 520,000', 'GL Account 600200'</w:t>
      </w:r>
    </w:p>
    <w:p>
      <w:pPr>
        <w:pStyle w:val="ListBullet"/>
        <w:spacing w:after="40"/>
        <w:ind w:left="360"/>
      </w:pPr>
      <w:r>
        <w:rPr>
          <w:sz w:val="20"/>
        </w:rPr>
        <w:t>Routes ONLY to: transactional_data_agent</w:t>
      </w:r>
    </w:p>
    <w:p>
      <w:pPr>
        <w:pStyle w:val="ListBullet"/>
        <w:spacing w:after="40"/>
        <w:ind w:left="360"/>
      </w:pPr>
      <w:r>
        <w:rPr>
          <w:sz w:val="20"/>
        </w:rPr>
        <w:t>HCBI, supporting docs, and TPI policies are NOT involved in this flow</w:t>
      </w:r>
    </w:p>
    <w:p>
      <w:pPr>
        <w:pStyle w:val="ListBullet"/>
        <w:spacing w:after="40"/>
        <w:ind w:left="360"/>
      </w:pPr>
      <w:r>
        <w:rPr>
          <w:sz w:val="20"/>
        </w:rPr>
        <w:t>Even a minor difference between claimed and actual figures = Potential Risk</w:t>
      </w:r>
    </w:p>
    <w:p>
      <w:pPr>
        <w:pStyle w:val="Heading3"/>
        <w:spacing w:before="160" w:after="40"/>
      </w:pPr>
      <w:r>
        <w:rPr>
          <w:color w:val="404040"/>
          <w:sz w:val="22"/>
        </w:rPr>
        <w:t>TransactionalDataAgent — SQL Generated</w:t>
      </w:r>
    </w:p>
    <w:p>
      <w:pPr>
        <w:spacing w:after="120"/>
        <w:ind w:left="432"/>
        <w:shd w:val="clear" w:fill="F5F5F5"/>
      </w:pPr>
      <w:r>
        <w:rPr>
          <w:rFonts w:ascii="Courier New" w:hAnsi="Courier New"/>
          <w:color w:val="404040"/>
          <w:sz w:val="17"/>
        </w:rPr>
        <w:t>SELECT</w:t>
        <w:br/>
        <w:t xml:space="preserve">  "Supplier Name",</w:t>
        <w:br/>
        <w:t xml:space="preserve">  COUNT(*)                                                          AS transaction_count,</w:t>
        <w:br/>
        <w:t xml:space="preserve">  SUM(CAST(REPLACE(REPLACE("Document Currency Invoice Amt",</w:t>
        <w:br/>
        <w:t xml:space="preserve">      ',',''), '$','') AS DECIMAL(38,6)))                           AS total_payment,</w:t>
        <w:br/>
        <w:t xml:space="preserve">  COLLECT_SET("GL Account Code")                                   AS gl_accounts_used,</w:t>
        <w:br/>
        <w:t xml:space="preserve">  COLLECT_SET("Document Payment Currency")                         AS currencies</w:t>
        <w:br/>
        <w:t>FROM cat_cbt_gaa_brz_dev.default.payments_dashboard_summary</w:t>
        <w:br/>
        <w:t>WHERE LOWER(TRIM(REGEXP_REPLACE("Supplier Name", '[^A-Za-z0-9 ]', '')))</w:t>
        <w:br/>
        <w:t xml:space="preserve">      LIKE '%medico distribution%'</w:t>
        <w:br/>
        <w:t>GROUP BY "Supplier Name"</w:t>
      </w:r>
    </w:p>
    <w:p>
      <w:pPr>
        <w:pStyle w:val="Heading3"/>
        <w:spacing w:before="160" w:after="40"/>
      </w:pPr>
      <w:r>
        <w:rPr>
          <w:color w:val="404040"/>
          <w:sz w:val="22"/>
        </w:rPr>
        <w:t>SQL Result — Actual Data Returned</w:t>
      </w:r>
    </w:p>
    <w:p>
      <w:pPr>
        <w:spacing w:after="120"/>
        <w:ind w:left="432"/>
        <w:shd w:val="clear" w:fill="F5F5F5"/>
      </w:pPr>
      <w:r>
        <w:rPr>
          <w:rFonts w:ascii="Courier New" w:hAnsi="Courier New"/>
          <w:color w:val="404040"/>
          <w:sz w:val="17"/>
        </w:rPr>
        <w:t>Supplier Name           | transaction_count | total_payment   | gl_accounts_used   | currencies</w:t>
        <w:br/>
        <w:t>MediCo Distribution Ltd |        47         | 518,432.500000  | [600200, 600210]   | [USD]</w:t>
      </w:r>
    </w:p>
    <w:p>
      <w:pPr>
        <w:pStyle w:val="Heading3"/>
        <w:spacing w:before="160" w:after="40"/>
      </w:pPr>
      <w:r>
        <w:rPr>
          <w:color w:val="404040"/>
          <w:sz w:val="22"/>
        </w:rPr>
        <w:t>Row-Level Breakdown (calculation_evidence)</w:t>
      </w:r>
    </w:p>
    <w:p>
      <w:pPr>
        <w:spacing w:after="120"/>
        <w:ind w:left="432"/>
        <w:shd w:val="clear" w:fill="F5F5F5"/>
      </w:pPr>
      <w:r>
        <w:rPr>
          <w:rFonts w:ascii="Courier New" w:hAnsi="Courier New"/>
          <w:color w:val="404040"/>
          <w:sz w:val="17"/>
        </w:rPr>
        <w:t>GL Account 600200 | 35 transactions | USD 429,092.50  ← matches company claim</w:t>
        <w:br/>
        <w:t>GL Account 600210 | 12 transactions | USD  89,340.00  ← NOT DISCLOSED by company</w:t>
        <w:br/>
        <w:t>─────────────────────────────────────────────────────</w:t>
        <w:br/>
        <w:t>Total paid        | 47 transactions | USD 518,432.50</w:t>
        <w:br/>
        <w:t>Company stated    |                 | USD 520,000.00</w:t>
        <w:br/>
        <w:t>Variance          |                 | USD   1,567.50  ← discrepancy</w:t>
      </w:r>
    </w:p>
    <w:p>
      <w:pPr>
        <w:pStyle w:val="Heading3"/>
        <w:spacing w:before="160" w:after="40"/>
      </w:pPr>
      <w:r>
        <w:rPr>
          <w:color w:val="404040"/>
          <w:sz w:val="22"/>
        </w:rPr>
        <w:t>LLM Validation — Findings</w:t>
      </w:r>
    </w:p>
    <w:p>
      <w:pPr>
        <w:pStyle w:val="ListBullet"/>
        <w:spacing w:after="40"/>
        <w:ind w:left="360"/>
      </w:pPr>
      <w:r>
        <w:rPr>
          <w:sz w:val="20"/>
        </w:rPr>
        <w:t>Company stated total: USD 520,000 → Actual: USD 518,432.50 → VARIANCE USD 1,567.50 → Potential Risk</w:t>
      </w:r>
    </w:p>
    <w:p>
      <w:pPr>
        <w:pStyle w:val="ListBullet"/>
        <w:spacing w:after="40"/>
        <w:ind w:left="360"/>
      </w:pPr>
      <w:r>
        <w:rPr>
          <w:sz w:val="20"/>
        </w:rPr>
        <w:t>Company stated ONLY GL 600200 → Raw data shows GL 600210 also used (12 txns, USD 89,340) → Potential Risk</w:t>
      </w:r>
    </w:p>
    <w:p>
      <w:pPr>
        <w:pStyle w:val="ListBullet"/>
        <w:spacing w:after="40"/>
        <w:ind w:left="360"/>
      </w:pPr>
      <w:r>
        <w:rPr>
          <w:sz w:val="20"/>
        </w:rPr>
        <w:t>Follow-up explicitly confirmed 'exclusively GL 600200' → directly contradicted by raw data</w:t>
      </w:r>
    </w:p>
    <w:p>
      <w:pPr>
        <w:pStyle w:val="Heading3"/>
        <w:spacing w:before="160" w:after="40"/>
      </w:pPr>
      <w:r>
        <w:rPr>
          <w:color w:val="404040"/>
          <w:sz w:val="22"/>
        </w:rPr>
        <w:t>RiskOutput Written</w:t>
      </w:r>
    </w:p>
    <w:tbl>
      <w:tblPr>
        <w:tblStyle w:val="TableGrid"/>
        <w:tblW w:type="auto" w:w="0"/>
        <w:tblLook w:firstColumn="1" w:firstRow="1" w:lastColumn="0" w:lastRow="0" w:noHBand="0" w:noVBand="1" w:val="04A0"/>
      </w:tblPr>
      <w:tblGrid>
        <w:gridCol w:w="4873"/>
        <w:gridCol w:w="4873"/>
      </w:tblGrid>
      <w:tr>
        <w:tc>
          <w:tcPr>
            <w:tcW w:type="dxa" w:w="2880"/>
            <w:shd w:val="clear" w:color="auto" w:fill="D6E4F0"/>
          </w:tcPr>
          <w:p>
            <w:r>
              <w:rPr>
                <w:b/>
                <w:color w:val="1F4E78"/>
                <w:sz w:val="18"/>
              </w:rPr>
              <w:t>risk_title</w:t>
            </w:r>
          </w:p>
        </w:tc>
        <w:tc>
          <w:tcPr>
            <w:tcW w:type="dxa" w:w="4873"/>
            <w:shd w:val="clear" w:color="auto" w:fill="FFCCCC"/>
          </w:tcPr>
          <w:p>
            <w:r>
              <w:rPr>
                <w:sz w:val="18"/>
              </w:rPr>
              <w:t>Potential Risk</w:t>
            </w:r>
          </w:p>
        </w:tc>
      </w:tr>
      <w:tr>
        <w:tc>
          <w:tcPr>
            <w:tcW w:type="dxa" w:w="2880"/>
            <w:shd w:val="clear" w:color="auto" w:fill="D6E4F0"/>
          </w:tcPr>
          <w:p>
            <w:r>
              <w:rPr>
                <w:b/>
                <w:color w:val="1F4E78"/>
                <w:sz w:val="18"/>
              </w:rPr>
              <w:t>risk_type</w:t>
            </w:r>
          </w:p>
        </w:tc>
        <w:tc>
          <w:tcPr>
            <w:tcW w:type="dxa" w:w="4873"/>
            <w:shd w:val="clear" w:color="auto" w:fill="FFCCCC"/>
          </w:tcPr>
          <w:p>
            <w:r>
              <w:rPr>
                <w:sz w:val="18"/>
              </w:rPr>
              <w:t>Undisclosed GL Account and Payment Amount Variance — MediCo Distribution Ltd</w:t>
            </w:r>
          </w:p>
        </w:tc>
      </w:tr>
      <w:tr>
        <w:tc>
          <w:tcPr>
            <w:tcW w:type="dxa" w:w="2880"/>
            <w:shd w:val="clear" w:color="auto" w:fill="D6E4F0"/>
          </w:tcPr>
          <w:p>
            <w:r>
              <w:rPr>
                <w:b/>
                <w:color w:val="1F4E78"/>
                <w:sz w:val="18"/>
              </w:rPr>
              <w:t>risk_score</w:t>
            </w:r>
          </w:p>
        </w:tc>
        <w:tc>
          <w:tcPr>
            <w:tcW w:type="dxa" w:w="4873"/>
            <w:shd w:val="clear" w:color="auto" w:fill="FFCCCC"/>
          </w:tcPr>
          <w:p>
            <w:r>
              <w:rPr>
                <w:sz w:val="18"/>
              </w:rPr>
              <w:t>7.0 / 10</w:t>
            </w:r>
          </w:p>
        </w:tc>
      </w:tr>
      <w:tr>
        <w:tc>
          <w:tcPr>
            <w:tcW w:type="dxa" w:w="2880"/>
            <w:shd w:val="clear" w:color="auto" w:fill="D6E4F0"/>
          </w:tcPr>
          <w:p>
            <w:r>
              <w:rPr>
                <w:b/>
                <w:color w:val="1F4E78"/>
                <w:sz w:val="18"/>
              </w:rPr>
              <w:t>scope_area</w:t>
            </w:r>
          </w:p>
        </w:tc>
        <w:tc>
          <w:tcPr>
            <w:tcW w:type="dxa" w:w="4873"/>
            <w:shd w:val="clear" w:color="auto" w:fill="FFCCCC"/>
          </w:tcPr>
          <w:p>
            <w:r>
              <w:rPr>
                <w:sz w:val="18"/>
              </w:rPr>
              <w:t>TPI Payments — Financial Controls</w:t>
            </w:r>
          </w:p>
        </w:tc>
      </w:tr>
      <w:tr>
        <w:tc>
          <w:tcPr>
            <w:tcW w:type="dxa" w:w="2880"/>
            <w:shd w:val="clear" w:color="auto" w:fill="D6E4F0"/>
          </w:tcPr>
          <w:p>
            <w:r>
              <w:rPr>
                <w:b/>
                <w:color w:val="1F4E78"/>
                <w:sz w:val="18"/>
              </w:rPr>
              <w:t>risk_description</w:t>
            </w:r>
          </w:p>
        </w:tc>
        <w:tc>
          <w:tcPr>
            <w:tcW w:type="dxa" w:w="4873"/>
            <w:shd w:val="clear" w:color="auto" w:fill="FFCCCC"/>
          </w:tcPr>
          <w:p>
            <w:r>
              <w:rPr>
                <w:sz w:val="18"/>
              </w:rPr>
              <w:t>SQL query against payments_dashboard_summary returns total payments of USD 518,432.50 across 47 transactions, against the company-stated USD 520,000 (variance: USD 1,567.50). More critically, 12 transactions totalling USD 89,340 were processed using GL Account 600210, which was not disclosed in either the IDR response or the follow-up confirmation. The follow-up response explicitly confirmed all payments were 'exclusively through GL Account 600200', which is directly contradicted by the raw data.</w:t>
            </w:r>
          </w:p>
        </w:tc>
      </w:tr>
      <w:tr>
        <w:tc>
          <w:tcPr>
            <w:tcW w:type="dxa" w:w="2880"/>
            <w:shd w:val="clear" w:color="auto" w:fill="D6E4F0"/>
          </w:tcPr>
          <w:p>
            <w:r>
              <w:rPr>
                <w:b/>
                <w:color w:val="1F4E78"/>
                <w:sz w:val="18"/>
              </w:rPr>
              <w:t>risk_rationale</w:t>
            </w:r>
          </w:p>
        </w:tc>
        <w:tc>
          <w:tcPr>
            <w:tcW w:type="dxa" w:w="4873"/>
            <w:shd w:val="clear" w:color="auto" w:fill="FFCCCC"/>
          </w:tcPr>
          <w:p>
            <w:r>
              <w:rPr>
                <w:sz w:val="18"/>
              </w:rPr>
              <w:t>Non-disclosure of GL Account 600210 indicates an incomplete or inaccurate IDR response. Any payment amount variance, however minor, constitutes a discrepancy between stated and actual figures and must be flagged for auditor review.</w:t>
            </w:r>
          </w:p>
        </w:tc>
      </w:tr>
      <w:tr>
        <w:tc>
          <w:tcPr>
            <w:tcW w:type="dxa" w:w="2880"/>
            <w:shd w:val="clear" w:color="auto" w:fill="D6E4F0"/>
          </w:tcPr>
          <w:p>
            <w:r>
              <w:rPr>
                <w:b/>
                <w:color w:val="1F4E78"/>
                <w:sz w:val="18"/>
              </w:rPr>
              <w:t>calculation_evidence</w:t>
            </w:r>
          </w:p>
        </w:tc>
        <w:tc>
          <w:tcPr>
            <w:tcW w:type="dxa" w:w="4873"/>
            <w:shd w:val="clear" w:color="auto" w:fill="FFCCCC"/>
          </w:tcPr>
          <w:p>
            <w:r>
              <w:rPr>
                <w:sz w:val="18"/>
              </w:rPr>
              <w:t>Table: payments_dashboard_summary | Supplier: MediCo Distribution Ltd</w:t>
              <w:br/>
              <w:t>GL 600200 | Valid: YES | Transactions: 35 | Amount: USD 429,092.50</w:t>
              <w:br/>
              <w:t>GL 600210 | Valid: NO  | Transactions: 12 | Amount: USD  89,340.00  [NOT DISCLOSED]</w:t>
              <w:br/>
              <w:t>Total paid: USD 518,432.50 | Company stated: USD 520,000.00 | Variance: USD 1,567.50</w:t>
            </w:r>
          </w:p>
        </w:tc>
      </w:tr>
      <w:tr>
        <w:tc>
          <w:tcPr>
            <w:tcW w:type="dxa" w:w="2880"/>
            <w:shd w:val="clear" w:color="auto" w:fill="D6E4F0"/>
          </w:tcPr>
          <w:p>
            <w:r>
              <w:rPr>
                <w:b/>
                <w:color w:val="1F4E78"/>
                <w:sz w:val="18"/>
              </w:rPr>
              <w:t>evidence_classification</w:t>
            </w:r>
          </w:p>
        </w:tc>
        <w:tc>
          <w:tcPr>
            <w:tcW w:type="dxa" w:w="4873"/>
            <w:shd w:val="clear" w:color="auto" w:fill="FFCCCC"/>
          </w:tcPr>
          <w:p>
            <w:r>
              <w:rPr>
                <w:sz w:val="18"/>
              </w:rPr>
              <w:t>C — Contradicts the response</w:t>
            </w:r>
          </w:p>
        </w:tc>
      </w:tr>
      <w:tr>
        <w:tc>
          <w:tcPr>
            <w:tcW w:type="dxa" w:w="2880"/>
            <w:shd w:val="clear" w:color="auto" w:fill="D6E4F0"/>
          </w:tcPr>
          <w:p>
            <w:r>
              <w:rPr>
                <w:b/>
                <w:color w:val="1F4E78"/>
                <w:sz w:val="18"/>
              </w:rPr>
              <w:t>evidence_explanation</w:t>
            </w:r>
          </w:p>
        </w:tc>
        <w:tc>
          <w:tcPr>
            <w:tcW w:type="dxa" w:w="4873"/>
            <w:shd w:val="clear" w:color="auto" w:fill="FFCCCC"/>
          </w:tcPr>
          <w:p>
            <w:r>
              <w:rPr>
                <w:sz w:val="18"/>
              </w:rPr>
              <w:t>Raw SQL data directly contradicts both the IDR response (only GL 600200 stated) and the follow-up confirmation (exclusively GL 600200). Payment total also does not match.</w:t>
            </w:r>
          </w:p>
        </w:tc>
      </w:tr>
      <w:tr>
        <w:tc>
          <w:tcPr>
            <w:tcW w:type="dxa" w:w="2880"/>
            <w:shd w:val="clear" w:color="auto" w:fill="D6E4F0"/>
          </w:tcPr>
          <w:p>
            <w:r>
              <w:rPr>
                <w:b/>
                <w:color w:val="1F4E78"/>
                <w:sz w:val="18"/>
              </w:rPr>
              <w:t>question</w:t>
            </w:r>
          </w:p>
        </w:tc>
        <w:tc>
          <w:tcPr>
            <w:tcW w:type="dxa" w:w="4873"/>
            <w:shd w:val="clear" w:color="auto" w:fill="FFCCCC"/>
          </w:tcPr>
          <w:p>
            <w:r>
              <w:rPr>
                <w:sz w:val="18"/>
              </w:rPr>
              <w:t>Please confirm total payments made to MediCo Distribution Ltd in FY2025...</w:t>
            </w:r>
          </w:p>
        </w:tc>
      </w:tr>
      <w:tr>
        <w:tc>
          <w:tcPr>
            <w:tcW w:type="dxa" w:w="2880"/>
            <w:shd w:val="clear" w:color="auto" w:fill="D6E4F0"/>
          </w:tcPr>
          <w:p>
            <w:r>
              <w:rPr>
                <w:b/>
                <w:color w:val="1F4E78"/>
                <w:sz w:val="18"/>
              </w:rPr>
              <w:t>response</w:t>
            </w:r>
          </w:p>
        </w:tc>
        <w:tc>
          <w:tcPr>
            <w:tcW w:type="dxa" w:w="4873"/>
            <w:shd w:val="clear" w:color="auto" w:fill="FFCCCC"/>
          </w:tcPr>
          <w:p>
            <w:r>
              <w:rPr>
                <w:sz w:val="18"/>
              </w:rPr>
              <w:t>Total payments of USD 520,000 were made... using GL Account 600200.</w:t>
            </w:r>
          </w:p>
        </w:tc>
      </w:tr>
      <w:tr>
        <w:tc>
          <w:tcPr>
            <w:tcW w:type="dxa" w:w="2880"/>
            <w:shd w:val="clear" w:color="auto" w:fill="D6E4F0"/>
          </w:tcPr>
          <w:p>
            <w:r>
              <w:rPr>
                <w:b/>
                <w:color w:val="1F4E78"/>
                <w:sz w:val="18"/>
              </w:rPr>
              <w:t>followup_question</w:t>
            </w:r>
          </w:p>
        </w:tc>
        <w:tc>
          <w:tcPr>
            <w:tcW w:type="dxa" w:w="4873"/>
            <w:shd w:val="clear" w:color="auto" w:fill="FFCCCC"/>
          </w:tcPr>
          <w:p>
            <w:r>
              <w:rPr>
                <w:sz w:val="18"/>
              </w:rPr>
              <w:t>Can you confirm there were no payments processed outside GL Account 600200?</w:t>
            </w:r>
          </w:p>
        </w:tc>
      </w:tr>
      <w:tr>
        <w:tc>
          <w:tcPr>
            <w:tcW w:type="dxa" w:w="2880"/>
            <w:shd w:val="clear" w:color="auto" w:fill="D6E4F0"/>
          </w:tcPr>
          <w:p>
            <w:r>
              <w:rPr>
                <w:b/>
                <w:color w:val="1F4E78"/>
                <w:sz w:val="18"/>
              </w:rPr>
              <w:t>followup_response</w:t>
            </w:r>
          </w:p>
        </w:tc>
        <w:tc>
          <w:tcPr>
            <w:tcW w:type="dxa" w:w="4873"/>
            <w:shd w:val="clear" w:color="auto" w:fill="FFCCCC"/>
          </w:tcPr>
          <w:p>
            <w:r>
              <w:rPr>
                <w:sz w:val="18"/>
              </w:rPr>
              <w:t>Confirmed — all payments to MediCo were exclusively through GL Account 600200.</w:t>
            </w:r>
          </w:p>
        </w:tc>
      </w:tr>
      <w:tr>
        <w:tc>
          <w:tcPr>
            <w:tcW w:type="dxa" w:w="2880"/>
            <w:shd w:val="clear" w:color="auto" w:fill="D6E4F0"/>
          </w:tcPr>
          <w:p>
            <w:r>
              <w:rPr>
                <w:b/>
                <w:color w:val="1F4E78"/>
                <w:sz w:val="18"/>
              </w:rPr>
              <w:t>source_details</w:t>
            </w:r>
          </w:p>
        </w:tc>
        <w:tc>
          <w:tcPr>
            <w:tcW w:type="dxa" w:w="4873"/>
            <w:shd w:val="clear" w:color="auto" w:fill="FFCCCC"/>
          </w:tcPr>
          <w:p>
            <w:r>
              <w:rPr>
                <w:sz w:val="18"/>
              </w:rPr>
              <w:t>payments_dashboard_summary | SQL query | 47 result rows</w:t>
            </w:r>
          </w:p>
        </w:tc>
      </w:tr>
    </w:tbl>
    <w:p/>
    <w:p>
      <w:pPr>
        <w:spacing w:after="80"/>
      </w:pPr>
      <w:r>
        <w:rPr>
          <w:b/>
          <w:i w:val="0"/>
          <w:color w:val="C00000"/>
          <w:sz w:val="20"/>
        </w:rPr>
        <w:t>✅  ROW WRITTEN TO OUTPUT  [RED — Potential Risk]</w:t>
      </w:r>
    </w:p>
    <w:p>
      <w:pPr>
        <w:spacing w:before="80" w:after="80"/>
      </w:pPr>
      <w:r>
        <w:rPr>
          <w:color w:val="D6E4F0"/>
          <w:sz w:val="14"/>
        </w:rPr>
        <w:t>────────────────────────────────────────────────────────────────────────────────────────────────────</w:t>
      </w:r>
    </w:p>
    <w:p>
      <w:r>
        <w:br w:type="page"/>
      </w:r>
    </w:p>
    <w:p>
      <w:pPr>
        <w:pStyle w:val="Heading2"/>
        <w:spacing w:before="200" w:after="40"/>
      </w:pPr>
      <w:r>
        <w:rPr>
          <w:color w:val="2E75B6"/>
          <w:sz w:val="26"/>
        </w:rPr>
        <w:t>SCENARIO 3 — POTENTIAL RISK  (Supporting Document Directly Contradicts IDR Response)</w:t>
      </w:r>
    </w:p>
    <w:p>
      <w:pPr>
        <w:spacing w:after="120"/>
        <w:ind w:left="432"/>
        <w:shd w:val="clear" w:fill="F5F5F5"/>
      </w:pPr>
      <w:r>
        <w:rPr>
          <w:rFonts w:ascii="Courier New" w:hAnsi="Courier New"/>
          <w:color w:val="404040"/>
          <w:sz w:val="17"/>
        </w:rPr>
        <w:t>unique_id:          IDR-Q-003</w:t>
        <w:br/>
        <w:t>question:           'Has MediCo Distribution Ltd been involved in any government regulatory</w:t>
        <w:br/>
        <w:t xml:space="preserve">                     submissions, tenders, or interactions with government officials on</w:t>
        <w:br/>
        <w:t xml:space="preserve">                     behalf of PharmaCo in FY2025?'</w:t>
        <w:br/>
        <w:t>company_response:   'MediCo has not been involved in any regulatory submissions, government</w:t>
        <w:br/>
        <w:t xml:space="preserve">                     tenders, or interactions with government officials on behalf of PharmaCo</w:t>
        <w:br/>
        <w:t xml:space="preserve">                     in FY2025.'</w:t>
        <w:br/>
        <w:t>followup_question:   null</w:t>
        <w:br/>
        <w:t>followup_response:   null</w:t>
      </w:r>
    </w:p>
    <w:p>
      <w:pPr>
        <w:pStyle w:val="Heading3"/>
        <w:spacing w:before="160" w:after="40"/>
      </w:pPr>
      <w:r>
        <w:rPr>
          <w:color w:val="404040"/>
          <w:sz w:val="22"/>
        </w:rPr>
        <w:t>Supervisor Routing Decision</w:t>
      </w:r>
    </w:p>
    <w:p>
      <w:pPr>
        <w:pStyle w:val="ListBullet"/>
        <w:spacing w:after="40"/>
        <w:ind w:left="360"/>
      </w:pPr>
      <w:r>
        <w:rPr>
          <w:sz w:val="20"/>
        </w:rPr>
        <w:t>Detects: 'government officials', 'regulatory submissions', 'tenders' — critical HCBI area</w:t>
      </w:r>
    </w:p>
    <w:p>
      <w:pPr>
        <w:pStyle w:val="ListBullet"/>
        <w:spacing w:after="40"/>
        <w:ind w:left="360"/>
      </w:pPr>
      <w:r>
        <w:rPr>
          <w:sz w:val="20"/>
        </w:rPr>
        <w:t>Routes to: hcbi_policy_agent, policy_knowledge_agent, supporting_docs_agent, risk_evaluation_agent, risk_analyzer_agent</w:t>
      </w:r>
    </w:p>
    <w:p>
      <w:pPr>
        <w:pStyle w:val="ListBullet"/>
        <w:spacing w:after="40"/>
        <w:ind w:left="360"/>
      </w:pPr>
      <w:r>
        <w:rPr>
          <w:sz w:val="20"/>
        </w:rPr>
        <w:t>Does NOT route to transactional_data_agent (no financial claim)</w:t>
      </w:r>
    </w:p>
    <w:p>
      <w:pPr>
        <w:pStyle w:val="Heading3"/>
        <w:spacing w:before="160" w:after="40"/>
      </w:pPr>
      <w:r>
        <w:rPr>
          <w:color w:val="404040"/>
          <w:sz w:val="22"/>
        </w:rPr>
        <w:t>HcbiPolicyAgent</w:t>
      </w:r>
    </w:p>
    <w:p>
      <w:pPr>
        <w:spacing w:after="120"/>
        <w:ind w:left="432"/>
        <w:shd w:val="clear" w:fill="F5F5F5"/>
      </w:pPr>
      <w:r>
        <w:rPr>
          <w:rFonts w:ascii="Courier New" w:hAnsi="Courier New"/>
          <w:color w:val="404040"/>
          <w:sz w:val="17"/>
        </w:rPr>
        <w:t>Section 6.1 'Interactions with Government Officials' | page 78 | similarity: 0.96</w:t>
        <w:br/>
        <w:t xml:space="preserve">  → 'No TPI may interact with government officials on behalf of JNJ without prior</w:t>
        <w:br/>
        <w:t xml:space="preserve">     written approval from the Legal and Compliance team. Any involvement in</w:t>
        <w:br/>
        <w:t xml:space="preserve">     government tenders, regulatory submissions, or licensing processes must be</w:t>
        <w:br/>
        <w:t xml:space="preserve">     pre-approved and documented...'</w:t>
        <w:br/>
        <w:br/>
        <w:t>Section 6.3 'Prohibited Activities' | page 82 | similarity: 0.91</w:t>
        <w:br/>
        <w:t xml:space="preserve">  → 'TPIs are strictly prohibited from making payments, gifts, or providing</w:t>
        <w:br/>
        <w:t xml:space="preserve">     anything of value to government officials...'</w:t>
      </w:r>
    </w:p>
    <w:p>
      <w:pPr>
        <w:pStyle w:val="Heading3"/>
        <w:spacing w:before="160" w:after="40"/>
      </w:pPr>
      <w:r>
        <w:rPr>
          <w:color w:val="404040"/>
          <w:sz w:val="22"/>
        </w:rPr>
        <w:t>SupportingDocsAgent — Critical Finding</w:t>
      </w:r>
    </w:p>
    <w:p>
      <w:pPr>
        <w:pStyle w:val="ListBullet"/>
        <w:spacing w:after="40"/>
        <w:ind w:left="360"/>
      </w:pPr>
      <w:r>
        <w:rPr>
          <w:sz w:val="20"/>
        </w:rPr>
        <w:t>Query: 'MediCo government tender regulatory submission Thailand Vietnam 2025'</w:t>
      </w:r>
    </w:p>
    <w:p>
      <w:pPr>
        <w:pStyle w:val="ListBullet"/>
        <w:spacing w:after="40"/>
        <w:ind w:left="360"/>
      </w:pPr>
      <w:r>
        <w:rPr>
          <w:sz w:val="20"/>
        </w:rPr>
        <w:t>MSG extractor processed MediCo_tender_Thailand_MOH.msg — email + attachment extracted</w:t>
      </w:r>
    </w:p>
    <w:p>
      <w:pPr>
        <w:spacing w:after="120"/>
        <w:ind w:left="432"/>
        <w:shd w:val="clear" w:fill="F5F5F5"/>
      </w:pPr>
      <w:r>
        <w:rPr>
          <w:rFonts w:ascii="Courier New" w:hAnsi="Courier New"/>
          <w:color w:val="404040"/>
          <w:sz w:val="17"/>
        </w:rPr>
        <w:t>From:    david.wong@medico-distribution.com</w:t>
        <w:br/>
        <w:t>To:      sarah.lee@pharmacoasia.com</w:t>
        <w:br/>
        <w:t>Date:    14 March 2025</w:t>
        <w:br/>
        <w:t>Subject: MOH Thailand Tender — MediCo Assistance</w:t>
        <w:br/>
        <w:br/>
        <w:t>Body: 'As discussed, MediCo has completed the submission of the Ministry of Health</w:t>
        <w:br/>
        <w:t xml:space="preserve">       Thailand public tender on behalf of PharmaCo for the hospital supply contract</w:t>
        <w:br/>
        <w:t xml:space="preserve">       (Ref: MOH-TH-2025-0312). We liaised directly with the Procurement Officer</w:t>
        <w:br/>
        <w:t xml:space="preserve">       at MOH. Please confirm receipt.'</w:t>
        <w:br/>
        <w:br/>
        <w:t>similarity_score: 0.97  ← extremely high match to query</w:t>
      </w:r>
    </w:p>
    <w:p>
      <w:pPr>
        <w:pStyle w:val="Heading3"/>
        <w:spacing w:before="160" w:after="40"/>
      </w:pPr>
      <w:r>
        <w:rPr>
          <w:color w:val="404040"/>
          <w:sz w:val="22"/>
        </w:rPr>
        <w:t>RiskEvaluationAgent</w:t>
      </w:r>
    </w:p>
    <w:p>
      <w:pPr>
        <w:pStyle w:val="ListBullet"/>
        <w:spacing w:after="40"/>
        <w:ind w:left="360"/>
      </w:pPr>
      <w:r>
        <w:rPr>
          <w:sz w:val="20"/>
        </w:rPr>
        <w:t>DIRECT CONTRADICTION: Response says 'not involved' → email proves MOH tender submitted + government official contact</w:t>
      </w:r>
    </w:p>
    <w:p>
      <w:pPr>
        <w:pStyle w:val="ListBullet"/>
        <w:spacing w:after="40"/>
        <w:ind w:left="360"/>
      </w:pPr>
      <w:r>
        <w:rPr>
          <w:sz w:val="20"/>
        </w:rPr>
        <w:t>HCBI Section 6.1 violated: no pre-approval document from Legal/Compliance found anywhere in supporting evidence</w:t>
      </w:r>
    </w:p>
    <w:p>
      <w:pPr>
        <w:pStyle w:val="ListBullet"/>
        <w:spacing w:after="40"/>
        <w:ind w:left="360"/>
      </w:pPr>
      <w:r>
        <w:rPr>
          <w:sz w:val="20"/>
        </w:rPr>
        <w:t>ConflictFlag: has_conflict=True, similarity_score=0.97</w:t>
      </w:r>
    </w:p>
    <w:p>
      <w:pPr>
        <w:pStyle w:val="Heading3"/>
        <w:spacing w:before="160" w:after="40"/>
      </w:pPr>
      <w:r>
        <w:rPr>
          <w:color w:val="404040"/>
          <w:sz w:val="22"/>
        </w:rPr>
        <w:t>RiskOutput Written</w:t>
      </w:r>
    </w:p>
    <w:tbl>
      <w:tblPr>
        <w:tblStyle w:val="TableGrid"/>
        <w:tblW w:type="auto" w:w="0"/>
        <w:tblLook w:firstColumn="1" w:firstRow="1" w:lastColumn="0" w:lastRow="0" w:noHBand="0" w:noVBand="1" w:val="04A0"/>
      </w:tblPr>
      <w:tblGrid>
        <w:gridCol w:w="4873"/>
        <w:gridCol w:w="4873"/>
      </w:tblGrid>
      <w:tr>
        <w:tc>
          <w:tcPr>
            <w:tcW w:type="dxa" w:w="2880"/>
            <w:shd w:val="clear" w:color="auto" w:fill="D6E4F0"/>
          </w:tcPr>
          <w:p>
            <w:r>
              <w:rPr>
                <w:b/>
                <w:color w:val="1F4E78"/>
                <w:sz w:val="18"/>
              </w:rPr>
              <w:t>risk_title</w:t>
            </w:r>
          </w:p>
        </w:tc>
        <w:tc>
          <w:tcPr>
            <w:tcW w:type="dxa" w:w="4873"/>
            <w:shd w:val="clear" w:color="auto" w:fill="FFCCCC"/>
          </w:tcPr>
          <w:p>
            <w:r>
              <w:rPr>
                <w:sz w:val="18"/>
              </w:rPr>
              <w:t>Potential Risk</w:t>
            </w:r>
          </w:p>
        </w:tc>
      </w:tr>
      <w:tr>
        <w:tc>
          <w:tcPr>
            <w:tcW w:type="dxa" w:w="2880"/>
            <w:shd w:val="clear" w:color="auto" w:fill="D6E4F0"/>
          </w:tcPr>
          <w:p>
            <w:r>
              <w:rPr>
                <w:b/>
                <w:color w:val="1F4E78"/>
                <w:sz w:val="18"/>
              </w:rPr>
              <w:t>risk_type</w:t>
            </w:r>
          </w:p>
        </w:tc>
        <w:tc>
          <w:tcPr>
            <w:tcW w:type="dxa" w:w="4873"/>
            <w:shd w:val="clear" w:color="auto" w:fill="FFCCCC"/>
          </w:tcPr>
          <w:p>
            <w:r>
              <w:rPr>
                <w:sz w:val="18"/>
              </w:rPr>
              <w:t>Undisclosed Government Tender Involvement via TPI — MediCo / MOH Thailand</w:t>
            </w:r>
          </w:p>
        </w:tc>
      </w:tr>
      <w:tr>
        <w:tc>
          <w:tcPr>
            <w:tcW w:type="dxa" w:w="2880"/>
            <w:shd w:val="clear" w:color="auto" w:fill="D6E4F0"/>
          </w:tcPr>
          <w:p>
            <w:r>
              <w:rPr>
                <w:b/>
                <w:color w:val="1F4E78"/>
                <w:sz w:val="18"/>
              </w:rPr>
              <w:t>risk_score</w:t>
            </w:r>
          </w:p>
        </w:tc>
        <w:tc>
          <w:tcPr>
            <w:tcW w:type="dxa" w:w="4873"/>
            <w:shd w:val="clear" w:color="auto" w:fill="FFCCCC"/>
          </w:tcPr>
          <w:p>
            <w:r>
              <w:rPr>
                <w:sz w:val="18"/>
              </w:rPr>
              <w:t>9.5 / 10</w:t>
            </w:r>
          </w:p>
        </w:tc>
      </w:tr>
      <w:tr>
        <w:tc>
          <w:tcPr>
            <w:tcW w:type="dxa" w:w="2880"/>
            <w:shd w:val="clear" w:color="auto" w:fill="D6E4F0"/>
          </w:tcPr>
          <w:p>
            <w:r>
              <w:rPr>
                <w:b/>
                <w:color w:val="1F4E78"/>
                <w:sz w:val="18"/>
              </w:rPr>
              <w:t>scope_area</w:t>
            </w:r>
          </w:p>
        </w:tc>
        <w:tc>
          <w:tcPr>
            <w:tcW w:type="dxa" w:w="4873"/>
            <w:shd w:val="clear" w:color="auto" w:fill="FFCCCC"/>
          </w:tcPr>
          <w:p>
            <w:r>
              <w:rPr>
                <w:sz w:val="18"/>
              </w:rPr>
              <w:t>TPI Due Diligence — Government Official Interaction (FCPA / Anti-Bribery)</w:t>
            </w:r>
          </w:p>
        </w:tc>
      </w:tr>
      <w:tr>
        <w:tc>
          <w:tcPr>
            <w:tcW w:type="dxa" w:w="2880"/>
            <w:shd w:val="clear" w:color="auto" w:fill="D6E4F0"/>
          </w:tcPr>
          <w:p>
            <w:r>
              <w:rPr>
                <w:b/>
                <w:color w:val="1F4E78"/>
                <w:sz w:val="18"/>
              </w:rPr>
              <w:t>risk_description</w:t>
            </w:r>
          </w:p>
        </w:tc>
        <w:tc>
          <w:tcPr>
            <w:tcW w:type="dxa" w:w="4873"/>
            <w:shd w:val="clear" w:color="auto" w:fill="FFCCCC"/>
          </w:tcPr>
          <w:p>
            <w:r>
              <w:rPr>
                <w:sz w:val="18"/>
              </w:rPr>
              <w:t>An email dated 14 March 2025 from MediCo Distribution Ltd (david.wong@medico-distribution.com) to PharmaCo Asia (sarah.lee@pharmacoasia.com) confirms that MediCo submitted the Ministry of Health Thailand public tender (Ref: MOH-TH-2025-0312) on behalf of PharmaCo, and that MediCo directly liaised with a government Procurement Officer at MOH. This directly and materially contradicts the IDR response which states MediCo was not involved in any government tenders or interactions with government officials in FY2025.</w:t>
            </w:r>
          </w:p>
        </w:tc>
      </w:tr>
      <w:tr>
        <w:tc>
          <w:tcPr>
            <w:tcW w:type="dxa" w:w="2880"/>
            <w:shd w:val="clear" w:color="auto" w:fill="D6E4F0"/>
          </w:tcPr>
          <w:p>
            <w:r>
              <w:rPr>
                <w:b/>
                <w:color w:val="1F4E78"/>
                <w:sz w:val="18"/>
              </w:rPr>
              <w:t>risk_rationale</w:t>
            </w:r>
          </w:p>
        </w:tc>
        <w:tc>
          <w:tcPr>
            <w:tcW w:type="dxa" w:w="4873"/>
            <w:shd w:val="clear" w:color="auto" w:fill="FFCCCC"/>
          </w:tcPr>
          <w:p>
            <w:r>
              <w:rPr>
                <w:sz w:val="18"/>
              </w:rPr>
              <w:t>Interaction with a government official through a TPI without prior written Legal and Compliance approval is a potential FCPA and anti-bribery violation. HCBI Section 6.1 mandates pre-approval for any such interaction. No such approval document was found in the supporting evidence. The company's categorical denial is contradicted by contemporaneous documentary evidence — this is the highest risk category in this audit.</w:t>
            </w:r>
          </w:p>
        </w:tc>
      </w:tr>
      <w:tr>
        <w:tc>
          <w:tcPr>
            <w:tcW w:type="dxa" w:w="2880"/>
            <w:shd w:val="clear" w:color="auto" w:fill="D6E4F0"/>
          </w:tcPr>
          <w:p>
            <w:r>
              <w:rPr>
                <w:b/>
                <w:color w:val="1F4E78"/>
                <w:sz w:val="18"/>
              </w:rPr>
              <w:t>calculation_evidence</w:t>
            </w:r>
          </w:p>
        </w:tc>
        <w:tc>
          <w:tcPr>
            <w:tcW w:type="dxa" w:w="4873"/>
            <w:shd w:val="clear" w:color="auto" w:fill="FFCCCC"/>
          </w:tcPr>
          <w:p>
            <w:r>
              <w:rPr>
                <w:sz w:val="18"/>
              </w:rPr>
              <w:t>— (not a data analysis finding)</w:t>
            </w:r>
          </w:p>
        </w:tc>
      </w:tr>
      <w:tr>
        <w:tc>
          <w:tcPr>
            <w:tcW w:type="dxa" w:w="2880"/>
            <w:shd w:val="clear" w:color="auto" w:fill="D6E4F0"/>
          </w:tcPr>
          <w:p>
            <w:r>
              <w:rPr>
                <w:b/>
                <w:color w:val="1F4E78"/>
                <w:sz w:val="18"/>
              </w:rPr>
              <w:t>evidence_classification</w:t>
            </w:r>
          </w:p>
        </w:tc>
        <w:tc>
          <w:tcPr>
            <w:tcW w:type="dxa" w:w="4873"/>
            <w:shd w:val="clear" w:color="auto" w:fill="FFCCCC"/>
          </w:tcPr>
          <w:p>
            <w:r>
              <w:rPr>
                <w:sz w:val="18"/>
              </w:rPr>
              <w:t>C — Contradicts the response</w:t>
            </w:r>
          </w:p>
        </w:tc>
      </w:tr>
      <w:tr>
        <w:tc>
          <w:tcPr>
            <w:tcW w:type="dxa" w:w="2880"/>
            <w:shd w:val="clear" w:color="auto" w:fill="D6E4F0"/>
          </w:tcPr>
          <w:p>
            <w:r>
              <w:rPr>
                <w:b/>
                <w:color w:val="1F4E78"/>
                <w:sz w:val="18"/>
              </w:rPr>
              <w:t>evidence_explanation</w:t>
            </w:r>
          </w:p>
        </w:tc>
        <w:tc>
          <w:tcPr>
            <w:tcW w:type="dxa" w:w="4873"/>
            <w:shd w:val="clear" w:color="auto" w:fill="FFCCCC"/>
          </w:tcPr>
          <w:p>
            <w:r>
              <w:rPr>
                <w:sz w:val="18"/>
              </w:rPr>
              <w:t>MediCo_tender_Thailand_MOH.msg (14 March 2025) directly contradicts the IDR response. Email confirms: (1) MOH Thailand public tender submitted by MediCo on PharmaCo's behalf, (2) direct contact with MOH Procurement Officer. No pre-approval from Legal/Compliance found.</w:t>
            </w:r>
          </w:p>
        </w:tc>
      </w:tr>
      <w:tr>
        <w:tc>
          <w:tcPr>
            <w:tcW w:type="dxa" w:w="2880"/>
            <w:shd w:val="clear" w:color="auto" w:fill="D6E4F0"/>
          </w:tcPr>
          <w:p>
            <w:r>
              <w:rPr>
                <w:b/>
                <w:color w:val="1F4E78"/>
                <w:sz w:val="18"/>
              </w:rPr>
              <w:t>question</w:t>
            </w:r>
          </w:p>
        </w:tc>
        <w:tc>
          <w:tcPr>
            <w:tcW w:type="dxa" w:w="4873"/>
            <w:shd w:val="clear" w:color="auto" w:fill="FFCCCC"/>
          </w:tcPr>
          <w:p>
            <w:r>
              <w:rPr>
                <w:sz w:val="18"/>
              </w:rPr>
              <w:t>Has MediCo Distribution Ltd been involved in any government regulatory submissions...</w:t>
            </w:r>
          </w:p>
        </w:tc>
      </w:tr>
      <w:tr>
        <w:tc>
          <w:tcPr>
            <w:tcW w:type="dxa" w:w="2880"/>
            <w:shd w:val="clear" w:color="auto" w:fill="D6E4F0"/>
          </w:tcPr>
          <w:p>
            <w:r>
              <w:rPr>
                <w:b/>
                <w:color w:val="1F4E78"/>
                <w:sz w:val="18"/>
              </w:rPr>
              <w:t>response</w:t>
            </w:r>
          </w:p>
        </w:tc>
        <w:tc>
          <w:tcPr>
            <w:tcW w:type="dxa" w:w="4873"/>
            <w:shd w:val="clear" w:color="auto" w:fill="FFCCCC"/>
          </w:tcPr>
          <w:p>
            <w:r>
              <w:rPr>
                <w:sz w:val="18"/>
              </w:rPr>
              <w:t>MediCo has not been involved in any regulatory submissions, government tenders...</w:t>
            </w:r>
          </w:p>
        </w:tc>
      </w:tr>
      <w:tr>
        <w:tc>
          <w:tcPr>
            <w:tcW w:type="dxa" w:w="2880"/>
            <w:shd w:val="clear" w:color="auto" w:fill="D6E4F0"/>
          </w:tcPr>
          <w:p>
            <w:r>
              <w:rPr>
                <w:b/>
                <w:color w:val="1F4E78"/>
                <w:sz w:val="18"/>
              </w:rPr>
              <w:t>followup_question</w:t>
            </w:r>
          </w:p>
        </w:tc>
        <w:tc>
          <w:tcPr>
            <w:tcW w:type="dxa" w:w="4873"/>
            <w:shd w:val="clear" w:color="auto" w:fill="FFCCCC"/>
          </w:tcPr>
          <w:p>
            <w:r>
              <w:rPr>
                <w:sz w:val="18"/>
              </w:rPr>
              <w:t>— (null in input)</w:t>
            </w:r>
          </w:p>
        </w:tc>
      </w:tr>
      <w:tr>
        <w:tc>
          <w:tcPr>
            <w:tcW w:type="dxa" w:w="2880"/>
            <w:shd w:val="clear" w:color="auto" w:fill="D6E4F0"/>
          </w:tcPr>
          <w:p>
            <w:r>
              <w:rPr>
                <w:b/>
                <w:color w:val="1F4E78"/>
                <w:sz w:val="18"/>
              </w:rPr>
              <w:t>followup_response</w:t>
            </w:r>
          </w:p>
        </w:tc>
        <w:tc>
          <w:tcPr>
            <w:tcW w:type="dxa" w:w="4873"/>
            <w:shd w:val="clear" w:color="auto" w:fill="FFCCCC"/>
          </w:tcPr>
          <w:p>
            <w:r>
              <w:rPr>
                <w:sz w:val="18"/>
              </w:rPr>
              <w:t>— (null in input)</w:t>
            </w:r>
          </w:p>
        </w:tc>
      </w:tr>
      <w:tr>
        <w:tc>
          <w:tcPr>
            <w:tcW w:type="dxa" w:w="2880"/>
            <w:shd w:val="clear" w:color="auto" w:fill="D6E4F0"/>
          </w:tcPr>
          <w:p>
            <w:r>
              <w:rPr>
                <w:b/>
                <w:color w:val="1F4E78"/>
                <w:sz w:val="18"/>
              </w:rPr>
              <w:t>source_details</w:t>
            </w:r>
          </w:p>
        </w:tc>
        <w:tc>
          <w:tcPr>
            <w:tcW w:type="dxa" w:w="4873"/>
            <w:shd w:val="clear" w:color="auto" w:fill="FFCCCC"/>
          </w:tcPr>
          <w:p>
            <w:r>
              <w:rPr>
                <w:sz w:val="18"/>
              </w:rPr>
              <w:t>HCBI Guide §6.1 p.78 | HCBI Guide §6.3 p.82 | MediCo_tender_Thailand_MOH.msg (14-Mar-2025)</w:t>
            </w:r>
          </w:p>
        </w:tc>
      </w:tr>
    </w:tbl>
    <w:p/>
    <w:p>
      <w:pPr>
        <w:spacing w:after="80"/>
      </w:pPr>
      <w:r>
        <w:rPr>
          <w:b/>
          <w:i w:val="0"/>
          <w:color w:val="C00000"/>
          <w:sz w:val="20"/>
        </w:rPr>
        <w:t>✅  ROW WRITTEN TO OUTPUT  [RED — Potential Risk, Score 9.5]</w:t>
      </w:r>
    </w:p>
    <w:p>
      <w:pPr>
        <w:spacing w:before="80" w:after="80"/>
      </w:pPr>
      <w:r>
        <w:rPr>
          <w:color w:val="D6E4F0"/>
          <w:sz w:val="14"/>
        </w:rPr>
        <w:t>────────────────────────────────────────────────────────────────────────────────────────────────────</w:t>
      </w:r>
    </w:p>
    <w:p>
      <w:r>
        <w:br w:type="page"/>
      </w:r>
    </w:p>
    <w:p>
      <w:pPr>
        <w:pStyle w:val="Heading2"/>
        <w:spacing w:before="200" w:after="40"/>
      </w:pPr>
      <w:r>
        <w:rPr>
          <w:color w:val="2E75B6"/>
          <w:sz w:val="26"/>
        </w:rPr>
        <w:t>SCENARIO 4 — FURTHER REVIEW REQUIRED  (Insufficient Evidence — Document Not Found)</w:t>
      </w:r>
    </w:p>
    <w:p>
      <w:pPr>
        <w:spacing w:after="120"/>
        <w:ind w:left="432"/>
        <w:shd w:val="clear" w:fill="F5F5F5"/>
      </w:pPr>
      <w:r>
        <w:rPr>
          <w:rFonts w:ascii="Courier New" w:hAnsi="Courier New"/>
          <w:color w:val="404040"/>
          <w:sz w:val="17"/>
        </w:rPr>
        <w:t>unique_id:          PLN-Q-001  ← from Planning questionnaire</w:t>
        <w:br/>
        <w:t>question:           'Confirm that due diligence for MediCo Distribution Ltd was completed</w:t>
        <w:br/>
        <w:t xml:space="preserve">                     and renewed within the last 12 months.'</w:t>
        <w:br/>
        <w:t>company_response:   'Due diligence for MediCo was completed and renewed in December 2024</w:t>
        <w:br/>
        <w:t xml:space="preserve">                     as per our standard annual renewal cycle.'</w:t>
        <w:br/>
        <w:t>followup_question:  'Please provide the due diligence renewal report reference number.'</w:t>
        <w:br/>
        <w:t>followup_response:  'Reference: DD-MEDICO-2024-DEC-001'</w:t>
      </w:r>
    </w:p>
    <w:p>
      <w:pPr>
        <w:pStyle w:val="Heading3"/>
        <w:spacing w:before="160" w:after="40"/>
      </w:pPr>
      <w:r>
        <w:rPr>
          <w:color w:val="404040"/>
          <w:sz w:val="22"/>
        </w:rPr>
        <w:t>Supervisor Routing Decision</w:t>
      </w:r>
    </w:p>
    <w:p>
      <w:pPr>
        <w:pStyle w:val="ListBullet"/>
        <w:spacing w:after="40"/>
        <w:ind w:left="360"/>
      </w:pPr>
      <w:r>
        <w:rPr>
          <w:sz w:val="20"/>
        </w:rPr>
        <w:t>No financial claim keywords → transactional_data_agent not invoked</w:t>
      </w:r>
    </w:p>
    <w:p>
      <w:pPr>
        <w:pStyle w:val="ListBullet"/>
        <w:spacing w:after="40"/>
        <w:ind w:left="360"/>
      </w:pPr>
      <w:r>
        <w:rPr>
          <w:sz w:val="20"/>
        </w:rPr>
        <w:t>Routes to: policy agents + supporting_docs_agent + risk agents</w:t>
      </w:r>
    </w:p>
    <w:p>
      <w:pPr>
        <w:pStyle w:val="Heading3"/>
        <w:spacing w:before="160" w:after="40"/>
      </w:pPr>
      <w:r>
        <w:rPr>
          <w:color w:val="404040"/>
          <w:sz w:val="22"/>
        </w:rPr>
        <w:t>SupportingDocsAgent</w:t>
      </w:r>
    </w:p>
    <w:p>
      <w:pPr>
        <w:pStyle w:val="ListBullet"/>
        <w:spacing w:after="40"/>
        <w:ind w:left="360"/>
      </w:pPr>
      <w:r>
        <w:rPr>
          <w:sz w:val="20"/>
        </w:rPr>
        <w:t>Query: 'MediCo due diligence December 2024 renewal DD-MEDICO-2024-DEC-001'</w:t>
      </w:r>
    </w:p>
    <w:p>
      <w:pPr>
        <w:pStyle w:val="ListBullet"/>
        <w:spacing w:after="40"/>
        <w:ind w:left="360"/>
      </w:pPr>
      <w:r>
        <w:rPr>
          <w:sz w:val="20"/>
        </w:rPr>
        <w:t>Search returns ONLY: MediCo_DD_Report_2023.docx (dated February 2023)</w:t>
      </w:r>
    </w:p>
    <w:p>
      <w:pPr>
        <w:pStyle w:val="ListBullet"/>
        <w:spacing w:after="40"/>
        <w:ind w:left="360"/>
      </w:pPr>
      <w:r>
        <w:rPr>
          <w:sz w:val="20"/>
        </w:rPr>
        <w:t>No document matching reference DD-MEDICO-2024-DEC-001 or dated December 2024 found</w:t>
      </w:r>
    </w:p>
    <w:p>
      <w:pPr>
        <w:pStyle w:val="Heading3"/>
        <w:spacing w:before="160" w:after="40"/>
      </w:pPr>
      <w:r>
        <w:rPr>
          <w:color w:val="404040"/>
          <w:sz w:val="22"/>
        </w:rPr>
        <w:t>RiskEvaluationAgent</w:t>
      </w:r>
    </w:p>
    <w:p>
      <w:pPr>
        <w:pStyle w:val="ListBullet"/>
        <w:spacing w:after="40"/>
        <w:ind w:left="360"/>
      </w:pPr>
      <w:r>
        <w:rPr>
          <w:sz w:val="20"/>
        </w:rPr>
        <w:t>Cannot confirm OR contradict — the specific document simply does not exist in uploaded evidence</w:t>
      </w:r>
    </w:p>
    <w:p>
      <w:pPr>
        <w:pStyle w:val="ListBullet"/>
        <w:spacing w:after="40"/>
        <w:ind w:left="360"/>
      </w:pPr>
      <w:r>
        <w:rPr>
          <w:sz w:val="20"/>
        </w:rPr>
        <w:t>2023 report exists but the claimed December 2024 renewal is unverifiable</w:t>
      </w:r>
    </w:p>
    <w:p>
      <w:pPr>
        <w:pStyle w:val="ListBullet"/>
        <w:spacing w:after="40"/>
        <w:ind w:left="360"/>
      </w:pPr>
      <w:r>
        <w:rPr>
          <w:sz w:val="20"/>
        </w:rPr>
        <w:t>evidence_classification = 'D — Is insufficient to test the response'</w:t>
      </w:r>
    </w:p>
    <w:p>
      <w:pPr>
        <w:pStyle w:val="Heading3"/>
        <w:spacing w:before="160" w:after="40"/>
      </w:pPr>
      <w:r>
        <w:rPr>
          <w:color w:val="404040"/>
          <w:sz w:val="22"/>
        </w:rPr>
        <w:t>RiskOutput Written</w:t>
      </w:r>
    </w:p>
    <w:tbl>
      <w:tblPr>
        <w:tblStyle w:val="TableGrid"/>
        <w:tblW w:type="auto" w:w="0"/>
        <w:tblLook w:firstColumn="1" w:firstRow="1" w:lastColumn="0" w:lastRow="0" w:noHBand="0" w:noVBand="1" w:val="04A0"/>
      </w:tblPr>
      <w:tblGrid>
        <w:gridCol w:w="4873"/>
        <w:gridCol w:w="4873"/>
      </w:tblGrid>
      <w:tr>
        <w:tc>
          <w:tcPr>
            <w:tcW w:type="dxa" w:w="2880"/>
            <w:shd w:val="clear" w:color="auto" w:fill="D6E4F0"/>
          </w:tcPr>
          <w:p>
            <w:r>
              <w:rPr>
                <w:b/>
                <w:color w:val="1F4E78"/>
                <w:sz w:val="18"/>
              </w:rPr>
              <w:t>risk_title</w:t>
            </w:r>
          </w:p>
        </w:tc>
        <w:tc>
          <w:tcPr>
            <w:tcW w:type="dxa" w:w="4873"/>
            <w:shd w:val="clear" w:color="auto" w:fill="FFFFCC"/>
          </w:tcPr>
          <w:p>
            <w:r>
              <w:rPr>
                <w:sz w:val="18"/>
              </w:rPr>
              <w:t>Further Review Required</w:t>
            </w:r>
          </w:p>
        </w:tc>
      </w:tr>
      <w:tr>
        <w:tc>
          <w:tcPr>
            <w:tcW w:type="dxa" w:w="2880"/>
            <w:shd w:val="clear" w:color="auto" w:fill="D6E4F0"/>
          </w:tcPr>
          <w:p>
            <w:r>
              <w:rPr>
                <w:b/>
                <w:color w:val="1F4E78"/>
                <w:sz w:val="18"/>
              </w:rPr>
              <w:t>risk_type</w:t>
            </w:r>
          </w:p>
        </w:tc>
        <w:tc>
          <w:tcPr>
            <w:tcW w:type="dxa" w:w="4873"/>
            <w:shd w:val="clear" w:color="auto" w:fill="FFFFCC"/>
          </w:tcPr>
          <w:p>
            <w:r>
              <w:rPr>
                <w:sz w:val="18"/>
              </w:rPr>
              <w:t>Due Diligence Renewal Document Not Found — MediCo Distribution Ltd</w:t>
            </w:r>
          </w:p>
        </w:tc>
      </w:tr>
      <w:tr>
        <w:tc>
          <w:tcPr>
            <w:tcW w:type="dxa" w:w="2880"/>
            <w:shd w:val="clear" w:color="auto" w:fill="D6E4F0"/>
          </w:tcPr>
          <w:p>
            <w:r>
              <w:rPr>
                <w:b/>
                <w:color w:val="1F4E78"/>
                <w:sz w:val="18"/>
              </w:rPr>
              <w:t>risk_score</w:t>
            </w:r>
          </w:p>
        </w:tc>
        <w:tc>
          <w:tcPr>
            <w:tcW w:type="dxa" w:w="4873"/>
            <w:shd w:val="clear" w:color="auto" w:fill="FFFFCC"/>
          </w:tcPr>
          <w:p>
            <w:r>
              <w:rPr>
                <w:sz w:val="18"/>
              </w:rPr>
              <w:t>5.5 / 10</w:t>
            </w:r>
          </w:p>
        </w:tc>
      </w:tr>
      <w:tr>
        <w:tc>
          <w:tcPr>
            <w:tcW w:type="dxa" w:w="2880"/>
            <w:shd w:val="clear" w:color="auto" w:fill="D6E4F0"/>
          </w:tcPr>
          <w:p>
            <w:r>
              <w:rPr>
                <w:b/>
                <w:color w:val="1F4E78"/>
                <w:sz w:val="18"/>
              </w:rPr>
              <w:t>scope_area</w:t>
            </w:r>
          </w:p>
        </w:tc>
        <w:tc>
          <w:tcPr>
            <w:tcW w:type="dxa" w:w="4873"/>
            <w:shd w:val="clear" w:color="auto" w:fill="FFFFCC"/>
          </w:tcPr>
          <w:p>
            <w:r>
              <w:rPr>
                <w:sz w:val="18"/>
              </w:rPr>
              <w:t>TPI Due Diligence — Annual Renewal Compliance</w:t>
            </w:r>
          </w:p>
        </w:tc>
      </w:tr>
      <w:tr>
        <w:tc>
          <w:tcPr>
            <w:tcW w:type="dxa" w:w="2880"/>
            <w:shd w:val="clear" w:color="auto" w:fill="D6E4F0"/>
          </w:tcPr>
          <w:p>
            <w:r>
              <w:rPr>
                <w:b/>
                <w:color w:val="1F4E78"/>
                <w:sz w:val="18"/>
              </w:rPr>
              <w:t>risk_description</w:t>
            </w:r>
          </w:p>
        </w:tc>
        <w:tc>
          <w:tcPr>
            <w:tcW w:type="dxa" w:w="4873"/>
            <w:shd w:val="clear" w:color="auto" w:fill="FFFFCC"/>
          </w:tcPr>
          <w:p>
            <w:r>
              <w:rPr>
                <w:sz w:val="18"/>
              </w:rPr>
              <w:t>The company states due diligence was renewed in December 2024 with reference DD-MEDICO-2024-DEC-001. Only a February 2023 DD report (MediCo_DD_Report_2023.docx) was found in the supporting documents uploaded. The December 2024 renewal document was not provided and could not be located in any available evidence, despite the follow-up response providing a specific reference number.</w:t>
            </w:r>
          </w:p>
        </w:tc>
      </w:tr>
      <w:tr>
        <w:tc>
          <w:tcPr>
            <w:tcW w:type="dxa" w:w="2880"/>
            <w:shd w:val="clear" w:color="auto" w:fill="D6E4F0"/>
          </w:tcPr>
          <w:p>
            <w:r>
              <w:rPr>
                <w:b/>
                <w:color w:val="1F4E78"/>
                <w:sz w:val="18"/>
              </w:rPr>
              <w:t>risk_rationale</w:t>
            </w:r>
          </w:p>
        </w:tc>
        <w:tc>
          <w:tcPr>
            <w:tcW w:type="dxa" w:w="4873"/>
            <w:shd w:val="clear" w:color="auto" w:fill="FFFFCC"/>
          </w:tcPr>
          <w:p>
            <w:r>
              <w:rPr>
                <w:sz w:val="18"/>
              </w:rPr>
              <w:t>TPI due diligence must be renewed annually. Without the renewal document, it cannot be confirmed whether MediCo's due diligence status is current. The auditor should request DD-MEDICO-2024-DEC-001 directly from the company.</w:t>
            </w:r>
          </w:p>
        </w:tc>
      </w:tr>
      <w:tr>
        <w:tc>
          <w:tcPr>
            <w:tcW w:type="dxa" w:w="2880"/>
            <w:shd w:val="clear" w:color="auto" w:fill="D6E4F0"/>
          </w:tcPr>
          <w:p>
            <w:r>
              <w:rPr>
                <w:b/>
                <w:color w:val="1F4E78"/>
                <w:sz w:val="18"/>
              </w:rPr>
              <w:t>calculation_evidence</w:t>
            </w:r>
          </w:p>
        </w:tc>
        <w:tc>
          <w:tcPr>
            <w:tcW w:type="dxa" w:w="4873"/>
            <w:shd w:val="clear" w:color="auto" w:fill="FFFFCC"/>
          </w:tcPr>
          <w:p>
            <w:r>
              <w:rPr>
                <w:sz w:val="18"/>
              </w:rPr>
              <w:t>— (not a data analysis finding)</w:t>
            </w:r>
          </w:p>
        </w:tc>
      </w:tr>
      <w:tr>
        <w:tc>
          <w:tcPr>
            <w:tcW w:type="dxa" w:w="2880"/>
            <w:shd w:val="clear" w:color="auto" w:fill="D6E4F0"/>
          </w:tcPr>
          <w:p>
            <w:r>
              <w:rPr>
                <w:b/>
                <w:color w:val="1F4E78"/>
                <w:sz w:val="18"/>
              </w:rPr>
              <w:t>evidence_classification</w:t>
            </w:r>
          </w:p>
        </w:tc>
        <w:tc>
          <w:tcPr>
            <w:tcW w:type="dxa" w:w="4873"/>
            <w:shd w:val="clear" w:color="auto" w:fill="FFFFCC"/>
          </w:tcPr>
          <w:p>
            <w:r>
              <w:rPr>
                <w:sz w:val="18"/>
              </w:rPr>
              <w:t>D — Is insufficient to test the response</w:t>
            </w:r>
          </w:p>
        </w:tc>
      </w:tr>
      <w:tr>
        <w:tc>
          <w:tcPr>
            <w:tcW w:type="dxa" w:w="2880"/>
            <w:shd w:val="clear" w:color="auto" w:fill="D6E4F0"/>
          </w:tcPr>
          <w:p>
            <w:r>
              <w:rPr>
                <w:b/>
                <w:color w:val="1F4E78"/>
                <w:sz w:val="18"/>
              </w:rPr>
              <w:t>evidence_explanation</w:t>
            </w:r>
          </w:p>
        </w:tc>
        <w:tc>
          <w:tcPr>
            <w:tcW w:type="dxa" w:w="4873"/>
            <w:shd w:val="clear" w:color="auto" w:fill="FFFFCC"/>
          </w:tcPr>
          <w:p>
            <w:r>
              <w:rPr>
                <w:sz w:val="18"/>
              </w:rPr>
              <w:t>Only MediCo_DD_Report_2023.docx found (dated February 2023). No document matching reference DD-MEDICO-2024-DEC-001 or dated December 2024 was found.</w:t>
            </w:r>
          </w:p>
        </w:tc>
      </w:tr>
      <w:tr>
        <w:tc>
          <w:tcPr>
            <w:tcW w:type="dxa" w:w="2880"/>
            <w:shd w:val="clear" w:color="auto" w:fill="D6E4F0"/>
          </w:tcPr>
          <w:p>
            <w:r>
              <w:rPr>
                <w:b/>
                <w:color w:val="1F4E78"/>
                <w:sz w:val="18"/>
              </w:rPr>
              <w:t>question</w:t>
            </w:r>
          </w:p>
        </w:tc>
        <w:tc>
          <w:tcPr>
            <w:tcW w:type="dxa" w:w="4873"/>
            <w:shd w:val="clear" w:color="auto" w:fill="FFFFCC"/>
          </w:tcPr>
          <w:p>
            <w:r>
              <w:rPr>
                <w:sz w:val="18"/>
              </w:rPr>
              <w:t>Confirm that due diligence for MediCo Distribution Ltd was completed within last 12 months.</w:t>
            </w:r>
          </w:p>
        </w:tc>
      </w:tr>
      <w:tr>
        <w:tc>
          <w:tcPr>
            <w:tcW w:type="dxa" w:w="2880"/>
            <w:shd w:val="clear" w:color="auto" w:fill="D6E4F0"/>
          </w:tcPr>
          <w:p>
            <w:r>
              <w:rPr>
                <w:b/>
                <w:color w:val="1F4E78"/>
                <w:sz w:val="18"/>
              </w:rPr>
              <w:t>response</w:t>
            </w:r>
          </w:p>
        </w:tc>
        <w:tc>
          <w:tcPr>
            <w:tcW w:type="dxa" w:w="4873"/>
            <w:shd w:val="clear" w:color="auto" w:fill="FFFFCC"/>
          </w:tcPr>
          <w:p>
            <w:r>
              <w:rPr>
                <w:sz w:val="18"/>
              </w:rPr>
              <w:t>Due diligence for MediCo was completed and renewed in December 2024...</w:t>
            </w:r>
          </w:p>
        </w:tc>
      </w:tr>
      <w:tr>
        <w:tc>
          <w:tcPr>
            <w:tcW w:type="dxa" w:w="2880"/>
            <w:shd w:val="clear" w:color="auto" w:fill="D6E4F0"/>
          </w:tcPr>
          <w:p>
            <w:r>
              <w:rPr>
                <w:b/>
                <w:color w:val="1F4E78"/>
                <w:sz w:val="18"/>
              </w:rPr>
              <w:t>followup_question</w:t>
            </w:r>
          </w:p>
        </w:tc>
        <w:tc>
          <w:tcPr>
            <w:tcW w:type="dxa" w:w="4873"/>
            <w:shd w:val="clear" w:color="auto" w:fill="FFFFCC"/>
          </w:tcPr>
          <w:p>
            <w:r>
              <w:rPr>
                <w:sz w:val="18"/>
              </w:rPr>
              <w:t>Please provide the due diligence renewal report reference number.</w:t>
            </w:r>
          </w:p>
        </w:tc>
      </w:tr>
      <w:tr>
        <w:tc>
          <w:tcPr>
            <w:tcW w:type="dxa" w:w="2880"/>
            <w:shd w:val="clear" w:color="auto" w:fill="D6E4F0"/>
          </w:tcPr>
          <w:p>
            <w:r>
              <w:rPr>
                <w:b/>
                <w:color w:val="1F4E78"/>
                <w:sz w:val="18"/>
              </w:rPr>
              <w:t>followup_response</w:t>
            </w:r>
          </w:p>
        </w:tc>
        <w:tc>
          <w:tcPr>
            <w:tcW w:type="dxa" w:w="4873"/>
            <w:shd w:val="clear" w:color="auto" w:fill="FFFFCC"/>
          </w:tcPr>
          <w:p>
            <w:r>
              <w:rPr>
                <w:sz w:val="18"/>
              </w:rPr>
              <w:t>Reference: DD-MEDICO-2024-DEC-001</w:t>
            </w:r>
          </w:p>
        </w:tc>
      </w:tr>
      <w:tr>
        <w:tc>
          <w:tcPr>
            <w:tcW w:type="dxa" w:w="2880"/>
            <w:shd w:val="clear" w:color="auto" w:fill="D6E4F0"/>
          </w:tcPr>
          <w:p>
            <w:r>
              <w:rPr>
                <w:b/>
                <w:color w:val="1F4E78"/>
                <w:sz w:val="18"/>
              </w:rPr>
              <w:t>source_details</w:t>
            </w:r>
          </w:p>
        </w:tc>
        <w:tc>
          <w:tcPr>
            <w:tcW w:type="dxa" w:w="4873"/>
            <w:shd w:val="clear" w:color="auto" w:fill="FFFFCC"/>
          </w:tcPr>
          <w:p>
            <w:r>
              <w:rPr>
                <w:sz w:val="18"/>
              </w:rPr>
              <w:t>MediCo_DD_Report_2023.docx — 2023 report found; 2024 renewal absent</w:t>
            </w:r>
          </w:p>
        </w:tc>
      </w:tr>
    </w:tbl>
    <w:p/>
    <w:p>
      <w:pPr>
        <w:spacing w:after="80"/>
      </w:pPr>
      <w:r>
        <w:rPr>
          <w:b/>
          <w:i w:val="0"/>
          <w:color w:val="FF6600"/>
          <w:sz w:val="20"/>
        </w:rPr>
        <w:t>✅  ROW WRITTEN TO OUTPUT  [YELLOW — Further Review Required]</w:t>
      </w:r>
    </w:p>
    <w:p>
      <w:r>
        <w:br w:type="page"/>
      </w:r>
    </w:p>
    <w:p>
      <w:pPr>
        <w:pStyle w:val="Heading1"/>
        <w:spacing w:before="280" w:after="80"/>
      </w:pPr>
      <w:r>
        <w:rPr>
          <w:color w:val="1F4E78"/>
          <w:sz w:val="32"/>
        </w:rPr>
        <w:t>PHASE 3 — TRANSACTIONAL DATA ANALYSIS AGENT  (Runs independently, once per audit)</w:t>
      </w:r>
    </w:p>
    <w:p>
      <w:pPr>
        <w:spacing w:after="80"/>
      </w:pPr>
      <w:r>
        <w:rPr>
          <w:b w:val="0"/>
          <w:i/>
          <w:sz w:val="20"/>
        </w:rPr>
        <w:t>Uses the same 3 Delta tables as TransactionalDataAgent, plus TPI Inventory and HCC GL Map. Not tied to any single questionnaire question — produces its own risk rows for the output.</w:t>
      </w:r>
    </w:p>
    <w:tbl>
      <w:tblPr>
        <w:tblStyle w:val="TableGrid"/>
        <w:tblW w:type="auto" w:w="0"/>
        <w:tblLook w:firstColumn="1" w:firstRow="1" w:lastColumn="0" w:lastRow="0" w:noHBand="0" w:noVBand="1" w:val="04A0"/>
      </w:tblPr>
      <w:tblGrid>
        <w:gridCol w:w="4873"/>
        <w:gridCol w:w="4873"/>
      </w:tblGrid>
      <w:tr>
        <w:tc>
          <w:tcPr>
            <w:tcW w:type="dxa" w:w="3168"/>
            <w:shd w:val="clear" w:color="auto" w:fill="1F4E78"/>
          </w:tcPr>
          <w:p>
            <w:r>
              <w:rPr>
                <w:b/>
                <w:color w:val="FFFFFF"/>
                <w:sz w:val="18"/>
              </w:rPr>
              <w:t>Delta Table 1</w:t>
            </w:r>
          </w:p>
        </w:tc>
        <w:tc>
          <w:tcPr>
            <w:tcW w:type="dxa" w:w="4873"/>
            <w:shd w:val="clear" w:color="auto" w:fill="F2F2F2"/>
          </w:tcPr>
          <w:p>
            <w:r>
              <w:rPr>
                <w:sz w:val="18"/>
              </w:rPr>
              <w:t>cat_cbt_gaa_brz_dev.default.payments_dashboard_summary</w:t>
            </w:r>
          </w:p>
        </w:tc>
      </w:tr>
      <w:tr>
        <w:tc>
          <w:tcPr>
            <w:tcW w:type="dxa" w:w="3168"/>
            <w:shd w:val="clear" w:color="auto" w:fill="1F4E78"/>
          </w:tcPr>
          <w:p>
            <w:r>
              <w:rPr>
                <w:b/>
                <w:color w:val="FFFFFF"/>
                <w:sz w:val="18"/>
              </w:rPr>
              <w:t>Delta Table 2</w:t>
            </w:r>
          </w:p>
        </w:tc>
        <w:tc>
          <w:tcPr>
            <w:tcW w:type="dxa" w:w="4873"/>
            <w:shd w:val="clear" w:color="auto" w:fill="F2F2F2"/>
          </w:tcPr>
          <w:p>
            <w:r>
              <w:rPr>
                <w:sz w:val="18"/>
              </w:rPr>
              <w:t>cat_cbt_gaa_brz_dev.default.revenue_dashboard_credit_memo</w:t>
            </w:r>
          </w:p>
        </w:tc>
      </w:tr>
      <w:tr>
        <w:tc>
          <w:tcPr>
            <w:tcW w:type="dxa" w:w="3168"/>
            <w:shd w:val="clear" w:color="auto" w:fill="1F4E78"/>
          </w:tcPr>
          <w:p>
            <w:r>
              <w:rPr>
                <w:b/>
                <w:color w:val="FFFFFF"/>
                <w:sz w:val="18"/>
              </w:rPr>
              <w:t>Delta Table 3</w:t>
            </w:r>
          </w:p>
        </w:tc>
        <w:tc>
          <w:tcPr>
            <w:tcW w:type="dxa" w:w="4873"/>
            <w:shd w:val="clear" w:color="auto" w:fill="F2F2F2"/>
          </w:tcPr>
          <w:p>
            <w:r>
              <w:rPr>
                <w:sz w:val="18"/>
              </w:rPr>
              <w:t>cat_cbt_gaa_brz_dev.default.revenue_dashboard_summary</w:t>
            </w:r>
          </w:p>
        </w:tc>
      </w:tr>
      <w:tr>
        <w:tc>
          <w:tcPr>
            <w:tcW w:type="dxa" w:w="3168"/>
            <w:shd w:val="clear" w:color="auto" w:fill="1F4E78"/>
          </w:tcPr>
          <w:p>
            <w:r>
              <w:rPr>
                <w:b/>
                <w:color w:val="FFFFFF"/>
                <w:sz w:val="18"/>
              </w:rPr>
              <w:t>Reference 1</w:t>
            </w:r>
          </w:p>
        </w:tc>
        <w:tc>
          <w:tcPr>
            <w:tcW w:type="dxa" w:w="4873"/>
            <w:shd w:val="clear" w:color="auto" w:fill="F2F2F2"/>
          </w:tcPr>
          <w:p>
            <w:r>
              <w:rPr>
                <w:sz w:val="18"/>
              </w:rPr>
              <w:t>TPI_Inventory_Final_Output.xlsx  (TPI name matching)</w:t>
            </w:r>
          </w:p>
        </w:tc>
      </w:tr>
      <w:tr>
        <w:tc>
          <w:tcPr>
            <w:tcW w:type="dxa" w:w="3168"/>
            <w:shd w:val="clear" w:color="auto" w:fill="1F4E78"/>
          </w:tcPr>
          <w:p>
            <w:r>
              <w:rPr>
                <w:b/>
                <w:color w:val="FFFFFF"/>
                <w:sz w:val="18"/>
              </w:rPr>
              <w:t>Reference 2</w:t>
            </w:r>
          </w:p>
        </w:tc>
        <w:tc>
          <w:tcPr>
            <w:tcW w:type="dxa" w:w="4873"/>
            <w:shd w:val="clear" w:color="auto" w:fill="F2F2F2"/>
          </w:tcPr>
          <w:p>
            <w:r>
              <w:rPr>
                <w:sz w:val="18"/>
              </w:rPr>
              <w:t>HCC_GL_Account_Map.xlsx  (valid GL accounts — Lynx Account column)</w:t>
            </w:r>
          </w:p>
        </w:tc>
      </w:tr>
    </w:tbl>
    <w:p/>
    <w:p>
      <w:pPr>
        <w:spacing w:before="80" w:after="80"/>
      </w:pPr>
      <w:r>
        <w:rPr>
          <w:color w:val="D6E4F0"/>
          <w:sz w:val="14"/>
        </w:rPr>
        <w:t>────────────────────────────────────────────────────────────────────────────────────────────────────</w:t>
      </w:r>
    </w:p>
    <w:p>
      <w:pPr>
        <w:pStyle w:val="Heading2"/>
        <w:spacing w:before="200" w:after="40"/>
      </w:pPr>
      <w:r>
        <w:rPr>
          <w:color w:val="2E75B6"/>
          <w:sz w:val="26"/>
        </w:rPr>
        <w:t>Check 1 — Payments to TPIs  (Informational)</w:t>
      </w:r>
    </w:p>
    <w:p>
      <w:pPr>
        <w:pStyle w:val="ListBullet"/>
        <w:spacing w:after="40"/>
        <w:ind w:left="360"/>
      </w:pPr>
      <w:r>
        <w:rPr>
          <w:sz w:val="20"/>
        </w:rPr>
        <w:t>SQL: JOIN payments WITH TPI Inventory ON supplier_name ≈ tpi_legal_name, GROUP BY TPI, SUM invoice_amount</w:t>
      </w:r>
    </w:p>
    <w:p>
      <w:pPr>
        <w:spacing w:after="120"/>
        <w:ind w:left="432"/>
        <w:shd w:val="clear" w:fill="F5F5F5"/>
      </w:pPr>
      <w:r>
        <w:rPr>
          <w:rFonts w:ascii="Courier New" w:hAnsi="Courier New"/>
          <w:color w:val="404040"/>
          <w:sz w:val="17"/>
        </w:rPr>
        <w:t>TPI                        | Total_Payment   | Currencies</w:t>
        <w:br/>
        <w:t>MediCo Distribution Ltd    | USD 518,432.50  | USD    ← highest</w:t>
        <w:br/>
        <w:t>PharmaDist Vietnam Co.     | USD 234,100.00  | USD</w:t>
        <w:br/>
        <w:t>RegioMed Thailand Ltd      | USD  98,750.00  | USD</w:t>
      </w:r>
    </w:p>
    <w:p>
      <w:pPr>
        <w:pStyle w:val="ListBullet"/>
        <w:spacing w:after="40"/>
        <w:ind w:left="360"/>
      </w:pPr>
      <w:r>
        <w:rPr>
          <w:sz w:val="20"/>
        </w:rPr>
        <w:t>No standalone risk triggered here — payment discrepancy already captured in Scenario 2 (Q2)</w:t>
      </w:r>
    </w:p>
    <w:p>
      <w:pPr>
        <w:pStyle w:val="ListBullet"/>
        <w:spacing w:after="40"/>
        <w:ind w:left="360"/>
      </w:pPr>
      <w:r>
        <w:rPr>
          <w:sz w:val="20"/>
        </w:rPr>
        <w:t>Data feeds Sheet 1 of analysis Excel</w:t>
      </w:r>
    </w:p>
    <w:p>
      <w:pPr>
        <w:spacing w:before="80" w:after="80"/>
      </w:pPr>
      <w:r>
        <w:rPr>
          <w:color w:val="D6E4F0"/>
          <w:sz w:val="14"/>
        </w:rPr>
        <w:t>────────────────────────────────────────────────────────────────────────────────────────────────────</w:t>
      </w:r>
    </w:p>
    <w:p>
      <w:pPr>
        <w:pStyle w:val="Heading2"/>
        <w:spacing w:before="200" w:after="40"/>
      </w:pPr>
      <w:r>
        <w:rPr>
          <w:color w:val="2E75B6"/>
          <w:sz w:val="26"/>
        </w:rPr>
        <w:t>Check 2 — Credit Notes to TPIs  (Informational)</w:t>
      </w:r>
    </w:p>
    <w:p>
      <w:pPr>
        <w:pStyle w:val="ListBullet"/>
        <w:spacing w:after="40"/>
        <w:ind w:left="360"/>
      </w:pPr>
      <w:r>
        <w:rPr>
          <w:sz w:val="20"/>
        </w:rPr>
        <w:t>SQL: Filter revenue_dashboard_credit_memo WHERE transaction_type = 'Credit Memo', JOIN TPI inventory</w:t>
      </w:r>
    </w:p>
    <w:p>
      <w:pPr>
        <w:spacing w:after="120"/>
        <w:ind w:left="432"/>
        <w:shd w:val="clear" w:fill="F5F5F5"/>
      </w:pPr>
      <w:r>
        <w:rPr>
          <w:rFonts w:ascii="Courier New" w:hAnsi="Courier New"/>
          <w:color w:val="404040"/>
          <w:sz w:val="17"/>
        </w:rPr>
        <w:t>TPI                        | Total_Credit_Note</w:t>
        <w:br/>
        <w:t>MediCo Distribution Ltd    | USD -12,400.00</w:t>
        <w:br/>
        <w:t>PharmaDist Vietnam Co.     | USD       0.00</w:t>
      </w:r>
    </w:p>
    <w:p>
      <w:pPr>
        <w:pStyle w:val="ListBullet"/>
        <w:spacing w:after="40"/>
        <w:ind w:left="360"/>
      </w:pPr>
      <w:r>
        <w:rPr>
          <w:sz w:val="20"/>
        </w:rPr>
        <w:t>No risk threshold — informational only. Added to Sheet 1 of analysis Excel.</w:t>
      </w:r>
    </w:p>
    <w:p>
      <w:pPr>
        <w:spacing w:before="80" w:after="80"/>
      </w:pPr>
      <w:r>
        <w:rPr>
          <w:color w:val="D6E4F0"/>
          <w:sz w:val="14"/>
        </w:rPr>
        <w:t>────────────────────────────────────────────────────────────────────────────────────────────────────</w:t>
      </w:r>
    </w:p>
    <w:p>
      <w:pPr>
        <w:pStyle w:val="Heading2"/>
        <w:spacing w:before="200" w:after="40"/>
      </w:pPr>
      <w:r>
        <w:rPr>
          <w:color w:val="2E75B6"/>
          <w:sz w:val="26"/>
        </w:rPr>
        <w:t>Check 3 — Sales &amp; Discounts to TPIs  (Informational)</w:t>
      </w:r>
    </w:p>
    <w:p>
      <w:pPr>
        <w:pStyle w:val="ListBullet"/>
        <w:spacing w:after="40"/>
        <w:ind w:left="360"/>
      </w:pPr>
      <w:r>
        <w:rPr>
          <w:sz w:val="20"/>
        </w:rPr>
        <w:t>SQL: Filter revenue_dashboard_summary WHERE transaction_type = 'Sale', GROUP BY TPI</w:t>
      </w:r>
    </w:p>
    <w:p>
      <w:pPr>
        <w:spacing w:after="120"/>
        <w:ind w:left="432"/>
        <w:shd w:val="clear" w:fill="F5F5F5"/>
      </w:pPr>
      <w:r>
        <w:rPr>
          <w:rFonts w:ascii="Courier New" w:hAnsi="Courier New"/>
          <w:color w:val="404040"/>
          <w:sz w:val="17"/>
        </w:rPr>
        <w:t>TPI                        | Total_Sales_Amount | Total_Discount_Amount</w:t>
        <w:br/>
        <w:t>MediCo Distribution Ltd    | USD 3,200,000.00   | USD 320,000.00</w:t>
        <w:br/>
        <w:t>PharmaDist Vietnam Co.     | USD 1,500,000.00   | USD  90,000.00</w:t>
        <w:br/>
        <w:t>All Other TPIs             | USD 1,400,000.00   | —</w:t>
      </w:r>
    </w:p>
    <w:p>
      <w:pPr>
        <w:pStyle w:val="ListBullet"/>
        <w:spacing w:after="40"/>
        <w:ind w:left="360"/>
      </w:pPr>
      <w:r>
        <w:rPr>
          <w:sz w:val="20"/>
        </w:rPr>
        <w:t>Informational only — feeds into Check 4 below.</w:t>
      </w:r>
    </w:p>
    <w:p>
      <w:pPr>
        <w:spacing w:before="80" w:after="80"/>
      </w:pPr>
      <w:r>
        <w:rPr>
          <w:color w:val="D6E4F0"/>
          <w:sz w:val="14"/>
        </w:rPr>
        <w:t>────────────────────────────────────────────────────────────────────────────────────────────────────</w:t>
      </w:r>
    </w:p>
    <w:p>
      <w:pPr>
        <w:pStyle w:val="Heading2"/>
        <w:spacing w:before="200" w:after="40"/>
      </w:pPr>
      <w:r>
        <w:rPr>
          <w:color w:val="2E75B6"/>
          <w:sz w:val="26"/>
        </w:rPr>
        <w:t>Check 4 — Sales Concentration &gt; 50%  (RISK CHECK)</w:t>
      </w:r>
    </w:p>
    <w:p>
      <w:pPr>
        <w:spacing w:after="120"/>
        <w:ind w:left="432"/>
        <w:shd w:val="clear" w:fill="F5F5F5"/>
      </w:pPr>
      <w:r>
        <w:rPr>
          <w:rFonts w:ascii="Courier New" w:hAnsi="Courier New"/>
          <w:color w:val="404040"/>
          <w:sz w:val="17"/>
        </w:rPr>
        <w:t>Grand total sales (ALL customers, TPI and non-TPI) = USD 8,100,000</w:t>
        <w:br/>
        <w:br/>
        <w:t>MediCo Distribution Ltd % = 3,200,000 / 8,100,000 = 39.5%  → BELOW 50% ✓</w:t>
        <w:br/>
        <w:t>PharmaDist Vietnam Co. % =  1,500,000 / 8,100,000 = 18.5%  → BELOW 50% ✓</w:t>
        <w:br/>
        <w:br/>
        <w:t>Sheet 1 column 'TPI Receives More Than 50 Percent of Sales' = 'No' for all TPIs</w:t>
        <w:br/>
        <w:br/>
        <w:t>→  NO RISK TRIGGERED for this check in this example</w:t>
      </w:r>
    </w:p>
    <w:p>
      <w:pPr>
        <w:spacing w:after="80"/>
      </w:pPr>
      <w:r>
        <w:rPr>
          <w:b/>
          <w:i w:val="0"/>
          <w:color w:val="007000"/>
          <w:sz w:val="20"/>
        </w:rPr>
        <w:t>⛔  No risk row written for this check.</w:t>
      </w:r>
    </w:p>
    <w:p>
      <w:pPr>
        <w:spacing w:before="80" w:after="80"/>
      </w:pPr>
      <w:r>
        <w:rPr>
          <w:color w:val="D6E4F0"/>
          <w:sz w:val="14"/>
        </w:rPr>
        <w:t>────────────────────────────────────────────────────────────────────────────────────────────────────</w:t>
      </w:r>
    </w:p>
    <w:p>
      <w:pPr>
        <w:pStyle w:val="Heading2"/>
        <w:spacing w:before="200" w:after="40"/>
      </w:pPr>
      <w:r>
        <w:rPr>
          <w:color w:val="2E75B6"/>
          <w:sz w:val="26"/>
        </w:rPr>
        <w:t>Check 5 — Invalid GL Account for TPI Payments  (RISK TRIGGERED)</w:t>
      </w:r>
    </w:p>
    <w:p>
      <w:pPr>
        <w:spacing w:after="120"/>
        <w:ind w:left="432"/>
        <w:shd w:val="clear" w:fill="F5F5F5"/>
      </w:pPr>
      <w:r>
        <w:rPr>
          <w:rFonts w:ascii="Courier New" w:hAnsi="Courier New"/>
          <w:color w:val="404040"/>
          <w:sz w:val="17"/>
        </w:rPr>
        <w:t>SQL:</w:t>
        <w:br/>
        <w:t>SELECT</w:t>
        <w:br/>
        <w:t xml:space="preserve">  p."Supplier Name",</w:t>
        <w:br/>
        <w:t xml:space="preserve">  p."GL Account Code",</w:t>
        <w:br/>
        <w:t xml:space="preserve">  p."Invoice Document Date",</w:t>
        <w:br/>
        <w:t xml:space="preserve">  p."Supplier Invoice Number",</w:t>
        <w:br/>
        <w:t xml:space="preserve">  p."Document Currency Invoice Amt",</w:t>
        <w:br/>
        <w:t xml:space="preserve">  p."Doc. Description",</w:t>
        <w:br/>
        <w:t xml:space="preserve">  CASE WHEN g."_valid_lynx_account" IS NOT NULL THEN 'YES' ELSE 'NO' END AS valid_gl_account,</w:t>
        <w:br/>
        <w:t xml:space="preserve">  CASE WHEN t."_tpi_match_key"     IS NOT NULL THEN 'YES' ELSE 'NO' END AS is_tpi</w:t>
        <w:br/>
        <w:t>FROM payments_dashboard_summary p</w:t>
        <w:br/>
        <w:t>LEFT JOIN hcc_gl_account_map    g ON TRIM(p."GL Account Code") = g."Lynx Account"</w:t>
        <w:br/>
        <w:t>LEFT JOIN tpi_inventory          t ON clean_name(p."Supplier Name") = t."_tpi_name_clean"</w:t>
        <w:br/>
        <w:t>WHERE t."_tpi_match_key" IS NOT NULL   -- only TPI suppliers</w:t>
        <w:br/>
        <w:t>ORDER BY p."Supplier Name", p."GL Account Code"</w:t>
      </w:r>
    </w:p>
    <w:p>
      <w:pPr>
        <w:pStyle w:val="Heading3"/>
        <w:spacing w:before="160" w:after="40"/>
      </w:pPr>
      <w:r>
        <w:rPr>
          <w:color w:val="404040"/>
          <w:sz w:val="22"/>
        </w:rPr>
        <w:t>Row-Level Results</w:t>
      </w:r>
    </w:p>
    <w:p>
      <w:pPr>
        <w:spacing w:after="120"/>
        <w:ind w:left="432"/>
        <w:shd w:val="clear" w:fill="F5F5F5"/>
      </w:pPr>
      <w:r>
        <w:rPr>
          <w:rFonts w:ascii="Courier New" w:hAnsi="Courier New"/>
          <w:color w:val="404040"/>
          <w:sz w:val="17"/>
        </w:rPr>
        <w:t>Supplier                | GL Code | Valid GL? | Txn Count | Amount (USD)  | Sample Invoice</w:t>
        <w:br/>
        <w:t>MediCo Distribution Ltd | 600200  |   YES     |    35     | 429,092.50    | INV-2025-001...</w:t>
        <w:br/>
        <w:t>MediCo Distribution Ltd | 600210  |   NO  ✗  |    12     |  89,340.00    | INV-2025-036...</w:t>
        <w:br/>
        <w:t>PharmaDist Vietnam Co.  | 600200  |   YES     |    22     | 234,100.00    | INV-2025-012...</w:t>
      </w:r>
    </w:p>
    <w:p>
      <w:pPr>
        <w:pStyle w:val="Heading3"/>
        <w:spacing w:before="160" w:after="40"/>
      </w:pPr>
      <w:r>
        <w:rPr>
          <w:color w:val="404040"/>
          <w:sz w:val="22"/>
        </w:rPr>
        <w:t>RiskOutput Written — Check 5</w:t>
      </w:r>
    </w:p>
    <w:tbl>
      <w:tblPr>
        <w:tblStyle w:val="TableGrid"/>
        <w:tblW w:type="auto" w:w="0"/>
        <w:tblLook w:firstColumn="1" w:firstRow="1" w:lastColumn="0" w:lastRow="0" w:noHBand="0" w:noVBand="1" w:val="04A0"/>
      </w:tblPr>
      <w:tblGrid>
        <w:gridCol w:w="4873"/>
        <w:gridCol w:w="4873"/>
      </w:tblGrid>
      <w:tr>
        <w:tc>
          <w:tcPr>
            <w:tcW w:type="dxa" w:w="2880"/>
            <w:shd w:val="clear" w:color="auto" w:fill="D6E4F0"/>
          </w:tcPr>
          <w:p>
            <w:r>
              <w:rPr>
                <w:b/>
                <w:color w:val="1F4E78"/>
                <w:sz w:val="18"/>
              </w:rPr>
              <w:t>risk_title</w:t>
            </w:r>
          </w:p>
        </w:tc>
        <w:tc>
          <w:tcPr>
            <w:tcW w:type="dxa" w:w="4873"/>
            <w:shd w:val="clear" w:color="auto" w:fill="FFCCCC"/>
          </w:tcPr>
          <w:p>
            <w:r>
              <w:rPr>
                <w:sz w:val="18"/>
              </w:rPr>
              <w:t>Potential Risk</w:t>
            </w:r>
          </w:p>
        </w:tc>
      </w:tr>
      <w:tr>
        <w:tc>
          <w:tcPr>
            <w:tcW w:type="dxa" w:w="2880"/>
            <w:shd w:val="clear" w:color="auto" w:fill="D6E4F0"/>
          </w:tcPr>
          <w:p>
            <w:r>
              <w:rPr>
                <w:b/>
                <w:color w:val="1F4E78"/>
                <w:sz w:val="18"/>
              </w:rPr>
              <w:t>risk_type</w:t>
            </w:r>
          </w:p>
        </w:tc>
        <w:tc>
          <w:tcPr>
            <w:tcW w:type="dxa" w:w="4873"/>
            <w:shd w:val="clear" w:color="auto" w:fill="FFCCCC"/>
          </w:tcPr>
          <w:p>
            <w:r>
              <w:rPr>
                <w:sz w:val="18"/>
              </w:rPr>
              <w:t>Invalid GL Account Used for TPI Payment — MediCo Distribution Ltd</w:t>
            </w:r>
          </w:p>
        </w:tc>
      </w:tr>
      <w:tr>
        <w:tc>
          <w:tcPr>
            <w:tcW w:type="dxa" w:w="2880"/>
            <w:shd w:val="clear" w:color="auto" w:fill="D6E4F0"/>
          </w:tcPr>
          <w:p>
            <w:r>
              <w:rPr>
                <w:b/>
                <w:color w:val="1F4E78"/>
                <w:sz w:val="18"/>
              </w:rPr>
              <w:t>risk_score</w:t>
            </w:r>
          </w:p>
        </w:tc>
        <w:tc>
          <w:tcPr>
            <w:tcW w:type="dxa" w:w="4873"/>
            <w:shd w:val="clear" w:color="auto" w:fill="FFCCCC"/>
          </w:tcPr>
          <w:p>
            <w:r>
              <w:rPr>
                <w:sz w:val="18"/>
              </w:rPr>
              <w:t>6.0 / 10</w:t>
            </w:r>
          </w:p>
        </w:tc>
      </w:tr>
      <w:tr>
        <w:tc>
          <w:tcPr>
            <w:tcW w:type="dxa" w:w="2880"/>
            <w:shd w:val="clear" w:color="auto" w:fill="D6E4F0"/>
          </w:tcPr>
          <w:p>
            <w:r>
              <w:rPr>
                <w:b/>
                <w:color w:val="1F4E78"/>
                <w:sz w:val="18"/>
              </w:rPr>
              <w:t>scope_area</w:t>
            </w:r>
          </w:p>
        </w:tc>
        <w:tc>
          <w:tcPr>
            <w:tcW w:type="dxa" w:w="4873"/>
            <w:shd w:val="clear" w:color="auto" w:fill="FFCCCC"/>
          </w:tcPr>
          <w:p>
            <w:r>
              <w:rPr>
                <w:sz w:val="18"/>
              </w:rPr>
              <w:t>TPI Payments — GL Account Validation</w:t>
            </w:r>
          </w:p>
        </w:tc>
      </w:tr>
      <w:tr>
        <w:tc>
          <w:tcPr>
            <w:tcW w:type="dxa" w:w="2880"/>
            <w:shd w:val="clear" w:color="auto" w:fill="D6E4F0"/>
          </w:tcPr>
          <w:p>
            <w:r>
              <w:rPr>
                <w:b/>
                <w:color w:val="1F4E78"/>
                <w:sz w:val="18"/>
              </w:rPr>
              <w:t>risk_description</w:t>
            </w:r>
          </w:p>
        </w:tc>
        <w:tc>
          <w:tcPr>
            <w:tcW w:type="dxa" w:w="4873"/>
            <w:shd w:val="clear" w:color="auto" w:fill="FFCCCC"/>
          </w:tcPr>
          <w:p>
            <w:r>
              <w:rPr>
                <w:sz w:val="18"/>
              </w:rPr>
              <w:t>Data analysis of payments_dashboard_summary against the HCC GL Account Map identifies 12 payment transactions to MediCo Distribution Ltd processed through GL Account 600210, which is not present in the approved HCC GL Account Map (Lynx Account column). Total amount processed through this invalid account: USD 89,340.00 across 12 transactions.</w:t>
            </w:r>
          </w:p>
        </w:tc>
      </w:tr>
      <w:tr>
        <w:tc>
          <w:tcPr>
            <w:tcW w:type="dxa" w:w="2880"/>
            <w:shd w:val="clear" w:color="auto" w:fill="D6E4F0"/>
          </w:tcPr>
          <w:p>
            <w:r>
              <w:rPr>
                <w:b/>
                <w:color w:val="1F4E78"/>
                <w:sz w:val="18"/>
              </w:rPr>
              <w:t>risk_rationale</w:t>
            </w:r>
          </w:p>
        </w:tc>
        <w:tc>
          <w:tcPr>
            <w:tcW w:type="dxa" w:w="4873"/>
            <w:shd w:val="clear" w:color="auto" w:fill="FFCCCC"/>
          </w:tcPr>
          <w:p>
            <w:r>
              <w:rPr>
                <w:sz w:val="18"/>
              </w:rPr>
              <w:t>Payments to a TPI using an unapproved GL Account indicate a breakdown in financial controls. All TPI payments must be channelled through GL accounts listed in the HCC GL Account Map to ensure proper categorisation and audit trail.</w:t>
            </w:r>
          </w:p>
        </w:tc>
      </w:tr>
      <w:tr>
        <w:tc>
          <w:tcPr>
            <w:tcW w:type="dxa" w:w="2880"/>
            <w:shd w:val="clear" w:color="auto" w:fill="D6E4F0"/>
          </w:tcPr>
          <w:p>
            <w:r>
              <w:rPr>
                <w:b/>
                <w:color w:val="1F4E78"/>
                <w:sz w:val="18"/>
              </w:rPr>
              <w:t>calculation_evidence</w:t>
            </w:r>
          </w:p>
        </w:tc>
        <w:tc>
          <w:tcPr>
            <w:tcW w:type="dxa" w:w="4873"/>
            <w:shd w:val="clear" w:color="auto" w:fill="FFCCCC"/>
          </w:tcPr>
          <w:p>
            <w:r>
              <w:rPr>
                <w:sz w:val="18"/>
              </w:rPr>
              <w:t>Table: payments_dashboard_summary  X  hcc_gl_account_map</w:t>
              <w:br/>
              <w:t>TPI: MediCo Distribution Ltd</w:t>
              <w:br/>
              <w:t>GL 600200 | In HCC GL Map: YES | Transactions: 35 | Amount: USD 429,092.50</w:t>
              <w:br/>
              <w:t>GL 600210 | In HCC GL Map: NO  | Transactions: 12 | Amount: USD  89,340.00</w:t>
              <w:br/>
              <w:t>Sample invalid rows:</w:t>
              <w:br/>
              <w:t xml:space="preserve">  INV-2025-036 | 600210 | 14-Jan-2025 | USD  7,200.00 | Distribution fee Q1</w:t>
              <w:br/>
              <w:t xml:space="preserve">  INV-2025-041 | 600210 | 28-Jan-2025 | USD  8,450.00 | Logistics services</w:t>
              <w:br/>
              <w:t xml:space="preserve">  INV-2025-058 | 600210 | 15-Feb-2025 | USD  6,900.00 | Distribution fee Q1</w:t>
              <w:br/>
              <w:t xml:space="preserve">  [+ 9 more transactions]</w:t>
            </w:r>
          </w:p>
        </w:tc>
      </w:tr>
      <w:tr>
        <w:tc>
          <w:tcPr>
            <w:tcW w:type="dxa" w:w="2880"/>
            <w:shd w:val="clear" w:color="auto" w:fill="D6E4F0"/>
          </w:tcPr>
          <w:p>
            <w:r>
              <w:rPr>
                <w:b/>
                <w:color w:val="1F4E78"/>
                <w:sz w:val="18"/>
              </w:rPr>
              <w:t>evidence_classification</w:t>
            </w:r>
          </w:p>
        </w:tc>
        <w:tc>
          <w:tcPr>
            <w:tcW w:type="dxa" w:w="4873"/>
            <w:shd w:val="clear" w:color="auto" w:fill="FFCCCC"/>
          </w:tcPr>
          <w:p>
            <w:r>
              <w:rPr>
                <w:sz w:val="18"/>
              </w:rPr>
              <w:t>C — Contradicts the response</w:t>
            </w:r>
          </w:p>
        </w:tc>
      </w:tr>
      <w:tr>
        <w:tc>
          <w:tcPr>
            <w:tcW w:type="dxa" w:w="2880"/>
            <w:shd w:val="clear" w:color="auto" w:fill="D6E4F0"/>
          </w:tcPr>
          <w:p>
            <w:r>
              <w:rPr>
                <w:b/>
                <w:color w:val="1F4E78"/>
                <w:sz w:val="18"/>
              </w:rPr>
              <w:t>evidence_explanation</w:t>
            </w:r>
          </w:p>
        </w:tc>
        <w:tc>
          <w:tcPr>
            <w:tcW w:type="dxa" w:w="4873"/>
            <w:shd w:val="clear" w:color="auto" w:fill="FFCCCC"/>
          </w:tcPr>
          <w:p>
            <w:r>
              <w:rPr>
                <w:sz w:val="18"/>
              </w:rPr>
              <w:t>Raw data analysis confirms GL 600210 used for 12 TPI payments. GL 600210 is absent from HCC GL Account Map (Lynx Account list). This constitutes use of an unapproved financial account for TPI payments.</w:t>
            </w:r>
          </w:p>
        </w:tc>
      </w:tr>
      <w:tr>
        <w:tc>
          <w:tcPr>
            <w:tcW w:type="dxa" w:w="2880"/>
            <w:shd w:val="clear" w:color="auto" w:fill="D6E4F0"/>
          </w:tcPr>
          <w:p>
            <w:r>
              <w:rPr>
                <w:b/>
                <w:color w:val="1F4E78"/>
                <w:sz w:val="18"/>
              </w:rPr>
              <w:t>question</w:t>
            </w:r>
          </w:p>
        </w:tc>
        <w:tc>
          <w:tcPr>
            <w:tcW w:type="dxa" w:w="4873"/>
            <w:shd w:val="clear" w:color="auto" w:fill="FFCCCC"/>
          </w:tcPr>
          <w:p>
            <w:r>
              <w:rPr>
                <w:sz w:val="18"/>
              </w:rPr>
              <w:t>— (data analysis finding; no source questionnaire row)</w:t>
            </w:r>
          </w:p>
        </w:tc>
      </w:tr>
      <w:tr>
        <w:tc>
          <w:tcPr>
            <w:tcW w:type="dxa" w:w="2880"/>
            <w:shd w:val="clear" w:color="auto" w:fill="D6E4F0"/>
          </w:tcPr>
          <w:p>
            <w:r>
              <w:rPr>
                <w:b/>
                <w:color w:val="1F4E78"/>
                <w:sz w:val="18"/>
              </w:rPr>
              <w:t>response</w:t>
            </w:r>
          </w:p>
        </w:tc>
        <w:tc>
          <w:tcPr>
            <w:tcW w:type="dxa" w:w="4873"/>
            <w:shd w:val="clear" w:color="auto" w:fill="FFCCCC"/>
          </w:tcPr>
          <w:p>
            <w:r>
              <w:rPr>
                <w:sz w:val="18"/>
              </w:rPr>
              <w:t>— (data analysis finding; no source questionnaire row)</w:t>
            </w:r>
          </w:p>
        </w:tc>
      </w:tr>
      <w:tr>
        <w:tc>
          <w:tcPr>
            <w:tcW w:type="dxa" w:w="2880"/>
            <w:shd w:val="clear" w:color="auto" w:fill="D6E4F0"/>
          </w:tcPr>
          <w:p>
            <w:r>
              <w:rPr>
                <w:b/>
                <w:color w:val="1F4E78"/>
                <w:sz w:val="18"/>
              </w:rPr>
              <w:t>followup_question</w:t>
            </w:r>
          </w:p>
        </w:tc>
        <w:tc>
          <w:tcPr>
            <w:tcW w:type="dxa" w:w="4873"/>
            <w:shd w:val="clear" w:color="auto" w:fill="FFCCCC"/>
          </w:tcPr>
          <w:p>
            <w:r>
              <w:rPr>
                <w:sz w:val="18"/>
              </w:rPr>
              <w:t>— (data analysis finding)</w:t>
            </w:r>
          </w:p>
        </w:tc>
      </w:tr>
      <w:tr>
        <w:tc>
          <w:tcPr>
            <w:tcW w:type="dxa" w:w="2880"/>
            <w:shd w:val="clear" w:color="auto" w:fill="D6E4F0"/>
          </w:tcPr>
          <w:p>
            <w:r>
              <w:rPr>
                <w:b/>
                <w:color w:val="1F4E78"/>
                <w:sz w:val="18"/>
              </w:rPr>
              <w:t>followup_response</w:t>
            </w:r>
          </w:p>
        </w:tc>
        <w:tc>
          <w:tcPr>
            <w:tcW w:type="dxa" w:w="4873"/>
            <w:shd w:val="clear" w:color="auto" w:fill="FFCCCC"/>
          </w:tcPr>
          <w:p>
            <w:r>
              <w:rPr>
                <w:sz w:val="18"/>
              </w:rPr>
              <w:t>— (data analysis finding)</w:t>
            </w:r>
          </w:p>
        </w:tc>
      </w:tr>
      <w:tr>
        <w:tc>
          <w:tcPr>
            <w:tcW w:type="dxa" w:w="2880"/>
            <w:shd w:val="clear" w:color="auto" w:fill="D6E4F0"/>
          </w:tcPr>
          <w:p>
            <w:r>
              <w:rPr>
                <w:b/>
                <w:color w:val="1F4E78"/>
                <w:sz w:val="18"/>
              </w:rPr>
              <w:t>source_details</w:t>
            </w:r>
          </w:p>
        </w:tc>
        <w:tc>
          <w:tcPr>
            <w:tcW w:type="dxa" w:w="4873"/>
            <w:shd w:val="clear" w:color="auto" w:fill="FFCCCC"/>
          </w:tcPr>
          <w:p>
            <w:r>
              <w:rPr>
                <w:sz w:val="18"/>
              </w:rPr>
              <w:t>payments_dashboard_summary | hcc_gl_account_map (Lynx Account column)</w:t>
            </w:r>
          </w:p>
        </w:tc>
      </w:tr>
    </w:tbl>
    <w:p/>
    <w:p>
      <w:pPr>
        <w:spacing w:after="80"/>
      </w:pPr>
      <w:r>
        <w:rPr>
          <w:b/>
          <w:i w:val="0"/>
          <w:color w:val="C00000"/>
          <w:sz w:val="20"/>
        </w:rPr>
        <w:t>✅  ROW WRITTEN TO OUTPUT  [RED — Potential Risk, Score 6.0]</w:t>
      </w:r>
    </w:p>
    <w:p>
      <w:pPr>
        <w:spacing w:before="80" w:after="80"/>
      </w:pPr>
      <w:r>
        <w:rPr>
          <w:color w:val="D6E4F0"/>
          <w:sz w:val="14"/>
        </w:rPr>
        <w:t>────────────────────────────────────────────────────────────────────────────────────────────────────</w:t>
      </w:r>
    </w:p>
    <w:p>
      <w:pPr>
        <w:pStyle w:val="Heading2"/>
        <w:spacing w:before="200" w:after="40"/>
      </w:pPr>
      <w:r>
        <w:rPr>
          <w:color w:val="2E75B6"/>
          <w:sz w:val="26"/>
        </w:rPr>
        <w:t>Check 6 — Potential TPIs Not in Inventory  (RISK TRIGGERED × 2)</w:t>
      </w:r>
    </w:p>
    <w:p>
      <w:pPr>
        <w:spacing w:after="120"/>
        <w:ind w:left="432"/>
        <w:shd w:val="clear" w:fill="F5F5F5"/>
      </w:pPr>
      <w:r>
        <w:rPr>
          <w:rFonts w:ascii="Courier New" w:hAnsi="Courier New"/>
          <w:color w:val="404040"/>
          <w:sz w:val="17"/>
        </w:rPr>
        <w:t>SQL:</w:t>
        <w:br/>
        <w:t>SELECT p.*,</w:t>
        <w:br/>
        <w:t xml:space="preserve">  CASE WHEN "Supplier Name" RLIKE '(?i)\b(media\s+agency|cro|customs?\s+broker)\b'</w:t>
        <w:br/>
        <w:t xml:space="preserve">            THEN 'YES' ELSE 'NO' END AS keyword_supplier_match,</w:t>
        <w:br/>
        <w:t xml:space="preserve">  CASE WHEN CONCAT("Invoice Description", ' ', "PO Description")</w:t>
        <w:br/>
        <w:t xml:space="preserve">            RLIKE '(?i)\b(regulator|tender)\b'</w:t>
        <w:br/>
        <w:t xml:space="preserve">            THEN 'YES' ELSE 'NO' END AS keyword_desc_match</w:t>
        <w:br/>
        <w:t>FROM payments_dashboard_summary p</w:t>
        <w:br/>
        <w:t>LEFT JOIN tpi_inventory t ON clean_name(p."Supplier Name") = t."_tpi_name_clean"</w:t>
        <w:br/>
        <w:t>WHERE t."_tpi_match_key" IS NULL   -- supplier NOT in TPI inventory</w:t>
        <w:br/>
        <w:t xml:space="preserve">  AND (</w:t>
        <w:br/>
        <w:t xml:space="preserve">    "Supplier Name" RLIKE '(?i)\b(media\s+agency|cro|customs?\s+broker)\b'</w:t>
        <w:br/>
        <w:t xml:space="preserve">    OR CONCAT("Invoice Description", ' ', "PO Description")</w:t>
        <w:br/>
        <w:t xml:space="preserve">       RLIKE '(?i)\b(regulator|tender)\b'</w:t>
        <w:br/>
        <w:t xml:space="preserve">  )</w:t>
      </w:r>
    </w:p>
    <w:p>
      <w:pPr>
        <w:pStyle w:val="Heading3"/>
        <w:spacing w:before="160" w:after="40"/>
      </w:pPr>
      <w:r>
        <w:rPr>
          <w:color w:val="404040"/>
          <w:sz w:val="22"/>
        </w:rPr>
        <w:t>Row-Level Results</w:t>
      </w:r>
    </w:p>
    <w:p>
      <w:pPr>
        <w:spacing w:after="120"/>
        <w:ind w:left="432"/>
        <w:shd w:val="clear" w:fill="F5F5F5"/>
      </w:pPr>
      <w:r>
        <w:rPr>
          <w:rFonts w:ascii="Courier New" w:hAnsi="Courier New"/>
          <w:color w:val="404040"/>
          <w:sz w:val="17"/>
        </w:rPr>
        <w:t>Finding 1:</w:t>
        <w:br/>
        <w:t xml:space="preserve">  Supplier:         RegulatorCo Advisory Services</w:t>
        <w:br/>
        <w:t xml:space="preserve">  TPI Inventory:    NOT FOUND</w:t>
        <w:br/>
        <w:t xml:space="preserve">  Keyword trigger:  'regulator' in PO Description</w:t>
        <w:br/>
        <w:t xml:space="preserve">  Transactions:     8  |  Total: USD 45,200.00</w:t>
        <w:br/>
        <w:t xml:space="preserve">  Row detail:</w:t>
        <w:br/>
        <w:t xml:space="preserve">    INV-2025-101 | 'Regulatory advisory Q1 2025'       | USD  5,200.00 | 10-Jan-2025</w:t>
        <w:br/>
        <w:t xml:space="preserve">    INV-2025-118 | 'Regulatory submission support Q2'  | USD  6,800.00 | 15-Apr-2025</w:t>
        <w:br/>
        <w:t xml:space="preserve">    INV-2025-133 | 'Regulatory affairs consulting'     | USD  5,500.00 | 02-Jun-2025</w:t>
        <w:br/>
        <w:t xml:space="preserve">    [+ 5 more transactions]</w:t>
        <w:br/>
        <w:br/>
        <w:t>Finding 2:</w:t>
        <w:br/>
        <w:t xml:space="preserve">  Supplier:         SEA Media Agency Ltd</w:t>
        <w:br/>
        <w:t xml:space="preserve">  TPI Inventory:    NOT FOUND</w:t>
        <w:br/>
        <w:t xml:space="preserve">  Keyword trigger:  'media agency' in Supplier Name</w:t>
        <w:br/>
        <w:t xml:space="preserve">  Transactions:     14  |  Total: USD 78,500.00</w:t>
        <w:br/>
        <w:t xml:space="preserve">  Row detail:</w:t>
        <w:br/>
        <w:t xml:space="preserve">    INV-2025-209 | 'Media planning services Mar-2025'  | USD  5,800.00 | 05-Mar-2025</w:t>
        <w:br/>
        <w:t xml:space="preserve">    INV-2025-224 | 'Campaign execution Apr-2025'       | USD  7,200.00 | 10-Apr-2025</w:t>
        <w:br/>
        <w:t xml:space="preserve">    INV-2025-241 | 'Market activation May-2025'        | USD  6,100.00 | 08-May-2025</w:t>
        <w:br/>
        <w:t xml:space="preserve">    [+ 11 more transactions]</w:t>
      </w:r>
    </w:p>
    <w:p>
      <w:pPr>
        <w:pStyle w:val="Heading3"/>
        <w:spacing w:before="160" w:after="40"/>
      </w:pPr>
      <w:r>
        <w:rPr>
          <w:color w:val="404040"/>
          <w:sz w:val="22"/>
        </w:rPr>
        <w:t>RiskOutputs Written — Check 6 (two separate rows)</w:t>
      </w:r>
    </w:p>
    <w:tbl>
      <w:tblPr>
        <w:tblStyle w:val="TableGrid"/>
        <w:tblW w:type="auto" w:w="0"/>
        <w:tblLook w:firstColumn="1" w:firstRow="1" w:lastColumn="0" w:lastRow="0" w:noHBand="0" w:noVBand="1" w:val="04A0"/>
      </w:tblPr>
      <w:tblGrid>
        <w:gridCol w:w="4873"/>
        <w:gridCol w:w="4873"/>
      </w:tblGrid>
      <w:tr>
        <w:tc>
          <w:tcPr>
            <w:tcW w:type="dxa" w:w="2880"/>
            <w:shd w:val="clear" w:color="auto" w:fill="D6E4F0"/>
          </w:tcPr>
          <w:p>
            <w:r>
              <w:rPr>
                <w:b/>
                <w:color w:val="1F4E78"/>
                <w:sz w:val="18"/>
              </w:rPr>
              <w:t>risk_title</w:t>
            </w:r>
          </w:p>
        </w:tc>
        <w:tc>
          <w:tcPr>
            <w:tcW w:type="dxa" w:w="4873"/>
            <w:shd w:val="clear" w:color="auto" w:fill="FFCCCC"/>
          </w:tcPr>
          <w:p>
            <w:r>
              <w:rPr>
                <w:sz w:val="18"/>
              </w:rPr>
              <w:t>Potential Risk</w:t>
            </w:r>
          </w:p>
        </w:tc>
      </w:tr>
      <w:tr>
        <w:tc>
          <w:tcPr>
            <w:tcW w:type="dxa" w:w="2880"/>
            <w:shd w:val="clear" w:color="auto" w:fill="D6E4F0"/>
          </w:tcPr>
          <w:p>
            <w:r>
              <w:rPr>
                <w:b/>
                <w:color w:val="1F4E78"/>
                <w:sz w:val="18"/>
              </w:rPr>
              <w:t>risk_type</w:t>
            </w:r>
          </w:p>
        </w:tc>
        <w:tc>
          <w:tcPr>
            <w:tcW w:type="dxa" w:w="4873"/>
            <w:shd w:val="clear" w:color="auto" w:fill="FFCCCC"/>
          </w:tcPr>
          <w:p>
            <w:r>
              <w:rPr>
                <w:sz w:val="18"/>
              </w:rPr>
              <w:t>Potential Unregistered TPI — RegulatorCo Advisory Services</w:t>
            </w:r>
          </w:p>
        </w:tc>
      </w:tr>
      <w:tr>
        <w:tc>
          <w:tcPr>
            <w:tcW w:type="dxa" w:w="2880"/>
            <w:shd w:val="clear" w:color="auto" w:fill="D6E4F0"/>
          </w:tcPr>
          <w:p>
            <w:r>
              <w:rPr>
                <w:b/>
                <w:color w:val="1F4E78"/>
                <w:sz w:val="18"/>
              </w:rPr>
              <w:t>risk_score</w:t>
            </w:r>
          </w:p>
        </w:tc>
        <w:tc>
          <w:tcPr>
            <w:tcW w:type="dxa" w:w="4873"/>
            <w:shd w:val="clear" w:color="auto" w:fill="FFCCCC"/>
          </w:tcPr>
          <w:p>
            <w:r>
              <w:rPr>
                <w:sz w:val="18"/>
              </w:rPr>
              <w:t>8.0 / 10</w:t>
            </w:r>
          </w:p>
        </w:tc>
      </w:tr>
      <w:tr>
        <w:tc>
          <w:tcPr>
            <w:tcW w:type="dxa" w:w="2880"/>
            <w:shd w:val="clear" w:color="auto" w:fill="D6E4F0"/>
          </w:tcPr>
          <w:p>
            <w:r>
              <w:rPr>
                <w:b/>
                <w:color w:val="1F4E78"/>
                <w:sz w:val="18"/>
              </w:rPr>
              <w:t>risk_description</w:t>
            </w:r>
          </w:p>
        </w:tc>
        <w:tc>
          <w:tcPr>
            <w:tcW w:type="dxa" w:w="4873"/>
            <w:shd w:val="clear" w:color="auto" w:fill="FFCCCC"/>
          </w:tcPr>
          <w:p>
            <w:r>
              <w:rPr>
                <w:sz w:val="18"/>
              </w:rPr>
              <w:t>RegulatorCo Advisory Services received 8 payments totalling USD 45,200 in FY2025. The supplier is not registered in the TPI Inventory List. Keyword 'regulator' was identified in the PO Descriptions of all 8 transactions, indicating regulatory advisory or submission services — a category typically requiring TPI registration under JNJ policy.</w:t>
            </w:r>
          </w:p>
        </w:tc>
      </w:tr>
      <w:tr>
        <w:tc>
          <w:tcPr>
            <w:tcW w:type="dxa" w:w="2880"/>
            <w:shd w:val="clear" w:color="auto" w:fill="D6E4F0"/>
          </w:tcPr>
          <w:p>
            <w:r>
              <w:rPr>
                <w:b/>
                <w:color w:val="1F4E78"/>
                <w:sz w:val="18"/>
              </w:rPr>
              <w:t>risk_rationale</w:t>
            </w:r>
          </w:p>
        </w:tc>
        <w:tc>
          <w:tcPr>
            <w:tcW w:type="dxa" w:w="4873"/>
            <w:shd w:val="clear" w:color="auto" w:fill="FFCCCC"/>
          </w:tcPr>
          <w:p>
            <w:r>
              <w:rPr>
                <w:sz w:val="18"/>
              </w:rPr>
              <w:t>Payments to unregistered entities for regulatory advisory services represent a potential compliance gap. If RegulatorCo interacts with regulators on PharmaCo's behalf, this constitutes TPI activity and requires registration, due diligence, and agreement documentation.</w:t>
            </w:r>
          </w:p>
        </w:tc>
      </w:tr>
      <w:tr>
        <w:tc>
          <w:tcPr>
            <w:tcW w:type="dxa" w:w="2880"/>
            <w:shd w:val="clear" w:color="auto" w:fill="D6E4F0"/>
          </w:tcPr>
          <w:p>
            <w:r>
              <w:rPr>
                <w:b/>
                <w:color w:val="1F4E78"/>
                <w:sz w:val="18"/>
              </w:rPr>
              <w:t>calculation_evidence</w:t>
            </w:r>
          </w:p>
        </w:tc>
        <w:tc>
          <w:tcPr>
            <w:tcW w:type="dxa" w:w="4873"/>
            <w:shd w:val="clear" w:color="auto" w:fill="FFCCCC"/>
          </w:tcPr>
          <w:p>
            <w:r>
              <w:rPr>
                <w:sz w:val="18"/>
              </w:rPr>
              <w:t>Table: payments_dashboard_summary</w:t>
              <w:br/>
              <w:t>Supplier: RegulatorCo Advisory Services | Not in TPI Inventory</w:t>
              <w:br/>
              <w:t>Keyword: 'regulator' in PO Description</w:t>
              <w:br/>
              <w:t>Transactions: 8 | Total: USD 45,200.00</w:t>
              <w:br/>
              <w:t>INV-2025-101 | Regulatory advisory Q1 2025       | USD 5,200 | 10-Jan-2025</w:t>
              <w:br/>
              <w:t>INV-2025-118 | Regulatory submission support Q2  | USD 6,800 | 15-Apr-2025</w:t>
              <w:br/>
              <w:t>INV-2025-133 | Regulatory affairs consulting      | USD 5,500 | 02-Jun-2025</w:t>
              <w:br/>
              <w:t>[+ 5 more rows]</w:t>
            </w:r>
          </w:p>
        </w:tc>
      </w:tr>
      <w:tr>
        <w:tc>
          <w:tcPr>
            <w:tcW w:type="dxa" w:w="2880"/>
            <w:shd w:val="clear" w:color="auto" w:fill="D6E4F0"/>
          </w:tcPr>
          <w:p>
            <w:r>
              <w:rPr>
                <w:b/>
                <w:color w:val="1F4E78"/>
                <w:sz w:val="18"/>
              </w:rPr>
              <w:t>evidence_classification</w:t>
            </w:r>
          </w:p>
        </w:tc>
        <w:tc>
          <w:tcPr>
            <w:tcW w:type="dxa" w:w="4873"/>
            <w:shd w:val="clear" w:color="auto" w:fill="FFCCCC"/>
          </w:tcPr>
          <w:p>
            <w:r>
              <w:rPr>
                <w:sz w:val="18"/>
              </w:rPr>
              <w:t>C — Contradicts the response</w:t>
            </w:r>
          </w:p>
        </w:tc>
      </w:tr>
      <w:tr>
        <w:tc>
          <w:tcPr>
            <w:tcW w:type="dxa" w:w="2880"/>
            <w:shd w:val="clear" w:color="auto" w:fill="D6E4F0"/>
          </w:tcPr>
          <w:p>
            <w:r>
              <w:rPr>
                <w:b/>
                <w:color w:val="1F4E78"/>
                <w:sz w:val="18"/>
              </w:rPr>
              <w:t>evidence_explanation</w:t>
            </w:r>
          </w:p>
        </w:tc>
        <w:tc>
          <w:tcPr>
            <w:tcW w:type="dxa" w:w="4873"/>
            <w:shd w:val="clear" w:color="auto" w:fill="FFCCCC"/>
          </w:tcPr>
          <w:p>
            <w:r>
              <w:rPr>
                <w:sz w:val="18"/>
              </w:rPr>
              <w:t>Payments found to an entity providing regulatory services who is not in the TPI Inventory. Absence from inventory = no due diligence performed.</w:t>
            </w:r>
          </w:p>
        </w:tc>
      </w:tr>
      <w:tr>
        <w:tc>
          <w:tcPr>
            <w:tcW w:type="dxa" w:w="2880"/>
            <w:shd w:val="clear" w:color="auto" w:fill="D6E4F0"/>
          </w:tcPr>
          <w:p>
            <w:r>
              <w:rPr>
                <w:b/>
                <w:color w:val="1F4E78"/>
                <w:sz w:val="18"/>
              </w:rPr>
              <w:t>question</w:t>
            </w:r>
          </w:p>
        </w:tc>
        <w:tc>
          <w:tcPr>
            <w:tcW w:type="dxa" w:w="4873"/>
            <w:shd w:val="clear" w:color="auto" w:fill="FFCCCC"/>
          </w:tcPr>
          <w:p>
            <w:r>
              <w:rPr>
                <w:sz w:val="18"/>
              </w:rPr>
              <w:t>— (data analysis finding)</w:t>
            </w:r>
          </w:p>
        </w:tc>
      </w:tr>
      <w:tr>
        <w:tc>
          <w:tcPr>
            <w:tcW w:type="dxa" w:w="2880"/>
            <w:shd w:val="clear" w:color="auto" w:fill="D6E4F0"/>
          </w:tcPr>
          <w:p>
            <w:r>
              <w:rPr>
                <w:b/>
                <w:color w:val="1F4E78"/>
                <w:sz w:val="18"/>
              </w:rPr>
              <w:t>response</w:t>
            </w:r>
          </w:p>
        </w:tc>
        <w:tc>
          <w:tcPr>
            <w:tcW w:type="dxa" w:w="4873"/>
            <w:shd w:val="clear" w:color="auto" w:fill="FFCCCC"/>
          </w:tcPr>
          <w:p>
            <w:r>
              <w:rPr>
                <w:sz w:val="18"/>
              </w:rPr>
              <w:t>— (data analysis finding)</w:t>
            </w:r>
          </w:p>
        </w:tc>
      </w:tr>
      <w:tr>
        <w:tc>
          <w:tcPr>
            <w:tcW w:type="dxa" w:w="2880"/>
            <w:shd w:val="clear" w:color="auto" w:fill="D6E4F0"/>
          </w:tcPr>
          <w:p>
            <w:r>
              <w:rPr>
                <w:b/>
                <w:color w:val="1F4E78"/>
                <w:sz w:val="18"/>
              </w:rPr>
              <w:t>followup_question</w:t>
            </w:r>
          </w:p>
        </w:tc>
        <w:tc>
          <w:tcPr>
            <w:tcW w:type="dxa" w:w="4873"/>
            <w:shd w:val="clear" w:color="auto" w:fill="FFCCCC"/>
          </w:tcPr>
          <w:p>
            <w:r>
              <w:rPr>
                <w:sz w:val="18"/>
              </w:rPr>
              <w:t>— (data analysis finding)</w:t>
            </w:r>
          </w:p>
        </w:tc>
      </w:tr>
      <w:tr>
        <w:tc>
          <w:tcPr>
            <w:tcW w:type="dxa" w:w="2880"/>
            <w:shd w:val="clear" w:color="auto" w:fill="D6E4F0"/>
          </w:tcPr>
          <w:p>
            <w:r>
              <w:rPr>
                <w:b/>
                <w:color w:val="1F4E78"/>
                <w:sz w:val="18"/>
              </w:rPr>
              <w:t>followup_response</w:t>
            </w:r>
          </w:p>
        </w:tc>
        <w:tc>
          <w:tcPr>
            <w:tcW w:type="dxa" w:w="4873"/>
            <w:shd w:val="clear" w:color="auto" w:fill="FFCCCC"/>
          </w:tcPr>
          <w:p>
            <w:r>
              <w:rPr>
                <w:sz w:val="18"/>
              </w:rPr>
              <w:t>— (data analysis finding)</w:t>
            </w:r>
          </w:p>
        </w:tc>
      </w:tr>
      <w:tr>
        <w:tc>
          <w:tcPr>
            <w:tcW w:type="dxa" w:w="2880"/>
            <w:shd w:val="clear" w:color="auto" w:fill="D6E4F0"/>
          </w:tcPr>
          <w:p>
            <w:r>
              <w:rPr>
                <w:b/>
                <w:color w:val="1F4E78"/>
                <w:sz w:val="18"/>
              </w:rPr>
              <w:t>source_details</w:t>
            </w:r>
          </w:p>
        </w:tc>
        <w:tc>
          <w:tcPr>
            <w:tcW w:type="dxa" w:w="4873"/>
            <w:shd w:val="clear" w:color="auto" w:fill="FFCCCC"/>
          </w:tcPr>
          <w:p>
            <w:r>
              <w:rPr>
                <w:sz w:val="18"/>
              </w:rPr>
              <w:t>payments_dashboard_summary | tpi_inventory_final_output</w:t>
            </w:r>
          </w:p>
        </w:tc>
      </w:tr>
    </w:tbl>
    <w:p/>
    <w:p>
      <w:pPr>
        <w:spacing w:after="80"/>
      </w:pPr>
      <w:r>
        <w:rPr>
          <w:b/>
          <w:i w:val="0"/>
          <w:color w:val="C00000"/>
          <w:sz w:val="20"/>
        </w:rPr>
        <w:t>✅  ROW WRITTEN TO OUTPUT  [RED — Potential Risk, Score 8.0]</w:t>
      </w:r>
    </w:p>
    <w:p>
      <w:pPr>
        <w:spacing w:after="80"/>
      </w:pPr>
      <w:r>
        <w:rPr>
          <w:b w:val="0"/>
          <w:i/>
          <w:sz w:val="20"/>
        </w:rPr>
        <w:t xml:space="preserve">    (Second row for SEA Media Agency Ltd written with same structure, score 8.0)</w:t>
      </w:r>
    </w:p>
    <w:p>
      <w:r>
        <w:br w:type="page"/>
      </w:r>
    </w:p>
    <w:p>
      <w:pPr>
        <w:pStyle w:val="Heading1"/>
        <w:spacing w:before="280" w:after="80"/>
      </w:pPr>
      <w:r>
        <w:rPr>
          <w:color w:val="1F4E78"/>
          <w:sz w:val="32"/>
        </w:rPr>
        <w:t>FINAL OUTPUT — Excel File Summary</w:t>
      </w:r>
    </w:p>
    <w:p>
      <w:pPr>
        <w:spacing w:after="80"/>
      </w:pPr>
      <w:r>
        <w:rPr>
          <w:b w:val="0"/>
          <w:i/>
          <w:sz w:val="20"/>
        </w:rPr>
        <w:t>Only Potential Risk and Further Review Required rows are written. No Risk rows (Scenario 1, Checks 2/3/4) are excluded entirely.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1F4E78"/>
          </w:tcPr>
          <w:p>
            <w:r>
              <w:rPr>
                <w:b/>
                <w:color w:val="FFFFFF"/>
                <w:sz w:val="18"/>
              </w:rPr>
              <w:t>S.No.</w:t>
            </w:r>
          </w:p>
        </w:tc>
        <w:tc>
          <w:tcPr>
            <w:tcW w:type="dxa" w:w="1949"/>
            <w:shd w:val="clear" w:color="auto" w:fill="1F4E78"/>
          </w:tcPr>
          <w:p>
            <w:r>
              <w:rPr>
                <w:b/>
                <w:color w:val="FFFFFF"/>
                <w:sz w:val="18"/>
              </w:rPr>
              <w:t>Risk Title</w:t>
            </w:r>
          </w:p>
        </w:tc>
        <w:tc>
          <w:tcPr>
            <w:tcW w:type="dxa" w:w="1949"/>
            <w:shd w:val="clear" w:color="auto" w:fill="1F4E78"/>
          </w:tcPr>
          <w:p>
            <w:r>
              <w:rPr>
                <w:b/>
                <w:color w:val="FFFFFF"/>
                <w:sz w:val="18"/>
              </w:rPr>
              <w:t>Risk Type (one-liner)</w:t>
            </w:r>
          </w:p>
        </w:tc>
        <w:tc>
          <w:tcPr>
            <w:tcW w:type="dxa" w:w="1949"/>
            <w:shd w:val="clear" w:color="auto" w:fill="1F4E78"/>
          </w:tcPr>
          <w:p>
            <w:r>
              <w:rPr>
                <w:b/>
                <w:color w:val="FFFFFF"/>
                <w:sz w:val="18"/>
              </w:rPr>
              <w:t>Score</w:t>
            </w:r>
          </w:p>
        </w:tc>
        <w:tc>
          <w:tcPr>
            <w:tcW w:type="dxa" w:w="1949"/>
            <w:shd w:val="clear" w:color="auto" w:fill="1F4E78"/>
          </w:tcPr>
          <w:p>
            <w:r>
              <w:rPr>
                <w:b/>
                <w:color w:val="FFFFFF"/>
                <w:sz w:val="18"/>
              </w:rPr>
              <w:t>Output Color</w:t>
            </w:r>
          </w:p>
        </w:tc>
      </w:tr>
      <w:tr>
        <w:tc>
          <w:tcPr>
            <w:tcW w:type="dxa" w:w="1949"/>
            <w:shd w:val="clear" w:color="auto" w:fill="FFCCCC"/>
          </w:tcPr>
          <w:p>
            <w:r>
              <w:rPr>
                <w:sz w:val="18"/>
              </w:rPr>
              <w:t>1</w:t>
            </w:r>
          </w:p>
        </w:tc>
        <w:tc>
          <w:tcPr>
            <w:tcW w:type="dxa" w:w="1949"/>
            <w:shd w:val="clear" w:color="auto" w:fill="FFCCCC"/>
          </w:tcPr>
          <w:p>
            <w:r>
              <w:rPr>
                <w:sz w:val="18"/>
              </w:rPr>
              <w:t>Potential Risk</w:t>
            </w:r>
          </w:p>
        </w:tc>
        <w:tc>
          <w:tcPr>
            <w:tcW w:type="dxa" w:w="1949"/>
            <w:shd w:val="clear" w:color="auto" w:fill="FFCCCC"/>
          </w:tcPr>
          <w:p>
            <w:r>
              <w:rPr>
                <w:sz w:val="18"/>
              </w:rPr>
              <w:t>Undisclosed GL Account and Payment Amount Variance</w:t>
            </w:r>
          </w:p>
        </w:tc>
        <w:tc>
          <w:tcPr>
            <w:tcW w:type="dxa" w:w="1949"/>
            <w:shd w:val="clear" w:color="auto" w:fill="FFCCCC"/>
          </w:tcPr>
          <w:p>
            <w:r>
              <w:rPr>
                <w:sz w:val="18"/>
              </w:rPr>
              <w:t>7.0</w:t>
            </w:r>
          </w:p>
        </w:tc>
        <w:tc>
          <w:tcPr>
            <w:tcW w:type="dxa" w:w="1949"/>
            <w:shd w:val="clear" w:color="auto" w:fill="FFCCCC"/>
          </w:tcPr>
          <w:p>
            <w:r>
              <w:rPr>
                <w:sz w:val="18"/>
              </w:rPr>
              <w:t>RED</w:t>
            </w:r>
          </w:p>
        </w:tc>
      </w:tr>
      <w:tr>
        <w:tc>
          <w:tcPr>
            <w:tcW w:type="dxa" w:w="1949"/>
            <w:shd w:val="clear" w:color="auto" w:fill="FFCCCC"/>
          </w:tcPr>
          <w:p>
            <w:r>
              <w:rPr>
                <w:sz w:val="18"/>
              </w:rPr>
              <w:t>2</w:t>
            </w:r>
          </w:p>
        </w:tc>
        <w:tc>
          <w:tcPr>
            <w:tcW w:type="dxa" w:w="1949"/>
            <w:shd w:val="clear" w:color="auto" w:fill="FFCCCC"/>
          </w:tcPr>
          <w:p>
            <w:r>
              <w:rPr>
                <w:sz w:val="18"/>
              </w:rPr>
              <w:t>Potential Risk</w:t>
            </w:r>
          </w:p>
        </w:tc>
        <w:tc>
          <w:tcPr>
            <w:tcW w:type="dxa" w:w="1949"/>
            <w:shd w:val="clear" w:color="auto" w:fill="FFCCCC"/>
          </w:tcPr>
          <w:p>
            <w:r>
              <w:rPr>
                <w:sz w:val="18"/>
              </w:rPr>
              <w:t>Undisclosed Government Tender via MediCo / MOH Thailand</w:t>
            </w:r>
          </w:p>
        </w:tc>
        <w:tc>
          <w:tcPr>
            <w:tcW w:type="dxa" w:w="1949"/>
            <w:shd w:val="clear" w:color="auto" w:fill="FFCCCC"/>
          </w:tcPr>
          <w:p>
            <w:r>
              <w:rPr>
                <w:sz w:val="18"/>
              </w:rPr>
              <w:t>9.5</w:t>
            </w:r>
          </w:p>
        </w:tc>
        <w:tc>
          <w:tcPr>
            <w:tcW w:type="dxa" w:w="1949"/>
            <w:shd w:val="clear" w:color="auto" w:fill="FFCCCC"/>
          </w:tcPr>
          <w:p>
            <w:r>
              <w:rPr>
                <w:sz w:val="18"/>
              </w:rPr>
              <w:t>RED</w:t>
            </w:r>
          </w:p>
        </w:tc>
      </w:tr>
      <w:tr>
        <w:tc>
          <w:tcPr>
            <w:tcW w:type="dxa" w:w="1949"/>
            <w:shd w:val="clear" w:color="auto" w:fill="FFFFCC"/>
          </w:tcPr>
          <w:p>
            <w:r>
              <w:rPr>
                <w:sz w:val="18"/>
              </w:rPr>
              <w:t>3</w:t>
            </w:r>
          </w:p>
        </w:tc>
        <w:tc>
          <w:tcPr>
            <w:tcW w:type="dxa" w:w="1949"/>
            <w:shd w:val="clear" w:color="auto" w:fill="FFFFCC"/>
          </w:tcPr>
          <w:p>
            <w:r>
              <w:rPr>
                <w:sz w:val="18"/>
              </w:rPr>
              <w:t>Further Review Required</w:t>
            </w:r>
          </w:p>
        </w:tc>
        <w:tc>
          <w:tcPr>
            <w:tcW w:type="dxa" w:w="1949"/>
            <w:shd w:val="clear" w:color="auto" w:fill="FFFFCC"/>
          </w:tcPr>
          <w:p>
            <w:r>
              <w:rPr>
                <w:sz w:val="18"/>
              </w:rPr>
              <w:t>Due Diligence Renewal Document Not Found</w:t>
            </w:r>
          </w:p>
        </w:tc>
        <w:tc>
          <w:tcPr>
            <w:tcW w:type="dxa" w:w="1949"/>
            <w:shd w:val="clear" w:color="auto" w:fill="FFFFCC"/>
          </w:tcPr>
          <w:p>
            <w:r>
              <w:rPr>
                <w:sz w:val="18"/>
              </w:rPr>
              <w:t>5.5</w:t>
            </w:r>
          </w:p>
        </w:tc>
        <w:tc>
          <w:tcPr>
            <w:tcW w:type="dxa" w:w="1949"/>
            <w:shd w:val="clear" w:color="auto" w:fill="FFFFCC"/>
          </w:tcPr>
          <w:p>
            <w:r>
              <w:rPr>
                <w:sz w:val="18"/>
              </w:rPr>
              <w:t>YELLOW</w:t>
            </w:r>
          </w:p>
        </w:tc>
      </w:tr>
      <w:tr>
        <w:tc>
          <w:tcPr>
            <w:tcW w:type="dxa" w:w="1949"/>
            <w:shd w:val="clear" w:color="auto" w:fill="FFCCCC"/>
          </w:tcPr>
          <w:p>
            <w:r>
              <w:rPr>
                <w:sz w:val="18"/>
              </w:rPr>
              <w:t>4</w:t>
            </w:r>
          </w:p>
        </w:tc>
        <w:tc>
          <w:tcPr>
            <w:tcW w:type="dxa" w:w="1949"/>
            <w:shd w:val="clear" w:color="auto" w:fill="FFCCCC"/>
          </w:tcPr>
          <w:p>
            <w:r>
              <w:rPr>
                <w:sz w:val="18"/>
              </w:rPr>
              <w:t>Potential Risk</w:t>
            </w:r>
          </w:p>
        </w:tc>
        <w:tc>
          <w:tcPr>
            <w:tcW w:type="dxa" w:w="1949"/>
            <w:shd w:val="clear" w:color="auto" w:fill="FFCCCC"/>
          </w:tcPr>
          <w:p>
            <w:r>
              <w:rPr>
                <w:sz w:val="18"/>
              </w:rPr>
              <w:t>Invalid GL Account Used for TPI Payment (Check 5)</w:t>
            </w:r>
          </w:p>
        </w:tc>
        <w:tc>
          <w:tcPr>
            <w:tcW w:type="dxa" w:w="1949"/>
            <w:shd w:val="clear" w:color="auto" w:fill="FFCCCC"/>
          </w:tcPr>
          <w:p>
            <w:r>
              <w:rPr>
                <w:sz w:val="18"/>
              </w:rPr>
              <w:t>6.0</w:t>
            </w:r>
          </w:p>
        </w:tc>
        <w:tc>
          <w:tcPr>
            <w:tcW w:type="dxa" w:w="1949"/>
            <w:shd w:val="clear" w:color="auto" w:fill="FFCCCC"/>
          </w:tcPr>
          <w:p>
            <w:r>
              <w:rPr>
                <w:sz w:val="18"/>
              </w:rPr>
              <w:t>RED</w:t>
            </w:r>
          </w:p>
        </w:tc>
      </w:tr>
      <w:tr>
        <w:tc>
          <w:tcPr>
            <w:tcW w:type="dxa" w:w="1949"/>
            <w:shd w:val="clear" w:color="auto" w:fill="FFCCCC"/>
          </w:tcPr>
          <w:p>
            <w:r>
              <w:rPr>
                <w:sz w:val="18"/>
              </w:rPr>
              <w:t>5</w:t>
            </w:r>
          </w:p>
        </w:tc>
        <w:tc>
          <w:tcPr>
            <w:tcW w:type="dxa" w:w="1949"/>
            <w:shd w:val="clear" w:color="auto" w:fill="FFCCCC"/>
          </w:tcPr>
          <w:p>
            <w:r>
              <w:rPr>
                <w:sz w:val="18"/>
              </w:rPr>
              <w:t>Potential Risk</w:t>
            </w:r>
          </w:p>
        </w:tc>
        <w:tc>
          <w:tcPr>
            <w:tcW w:type="dxa" w:w="1949"/>
            <w:shd w:val="clear" w:color="auto" w:fill="FFCCCC"/>
          </w:tcPr>
          <w:p>
            <w:r>
              <w:rPr>
                <w:sz w:val="18"/>
              </w:rPr>
              <w:t>Potential Unregistered TPI — RegulatorCo Advisory</w:t>
            </w:r>
          </w:p>
        </w:tc>
        <w:tc>
          <w:tcPr>
            <w:tcW w:type="dxa" w:w="1949"/>
            <w:shd w:val="clear" w:color="auto" w:fill="FFCCCC"/>
          </w:tcPr>
          <w:p>
            <w:r>
              <w:rPr>
                <w:sz w:val="18"/>
              </w:rPr>
              <w:t>8.0</w:t>
            </w:r>
          </w:p>
        </w:tc>
        <w:tc>
          <w:tcPr>
            <w:tcW w:type="dxa" w:w="1949"/>
            <w:shd w:val="clear" w:color="auto" w:fill="FFCCCC"/>
          </w:tcPr>
          <w:p>
            <w:r>
              <w:rPr>
                <w:sz w:val="18"/>
              </w:rPr>
              <w:t>RED</w:t>
            </w:r>
          </w:p>
        </w:tc>
      </w:tr>
      <w:tr>
        <w:tc>
          <w:tcPr>
            <w:tcW w:type="dxa" w:w="1949"/>
            <w:shd w:val="clear" w:color="auto" w:fill="FFCCCC"/>
          </w:tcPr>
          <w:p>
            <w:r>
              <w:rPr>
                <w:sz w:val="18"/>
              </w:rPr>
              <w:t>6</w:t>
            </w:r>
          </w:p>
        </w:tc>
        <w:tc>
          <w:tcPr>
            <w:tcW w:type="dxa" w:w="1949"/>
            <w:shd w:val="clear" w:color="auto" w:fill="FFCCCC"/>
          </w:tcPr>
          <w:p>
            <w:r>
              <w:rPr>
                <w:sz w:val="18"/>
              </w:rPr>
              <w:t>Potential Risk</w:t>
            </w:r>
          </w:p>
        </w:tc>
        <w:tc>
          <w:tcPr>
            <w:tcW w:type="dxa" w:w="1949"/>
            <w:shd w:val="clear" w:color="auto" w:fill="FFCCCC"/>
          </w:tcPr>
          <w:p>
            <w:r>
              <w:rPr>
                <w:sz w:val="18"/>
              </w:rPr>
              <w:t>Potential Unregistered TPI — SEA Media Agency Ltd</w:t>
            </w:r>
          </w:p>
        </w:tc>
        <w:tc>
          <w:tcPr>
            <w:tcW w:type="dxa" w:w="1949"/>
            <w:shd w:val="clear" w:color="auto" w:fill="FFCCCC"/>
          </w:tcPr>
          <w:p>
            <w:r>
              <w:rPr>
                <w:sz w:val="18"/>
              </w:rPr>
              <w:t>8.0</w:t>
            </w:r>
          </w:p>
        </w:tc>
        <w:tc>
          <w:tcPr>
            <w:tcW w:type="dxa" w:w="1949"/>
            <w:shd w:val="clear" w:color="auto" w:fill="FFCCCC"/>
          </w:tcPr>
          <w:p>
            <w:r>
              <w:rPr>
                <w:sz w:val="18"/>
              </w:rPr>
              <w:t>RED</w:t>
            </w:r>
          </w:p>
        </w:tc>
      </w:tr>
    </w:tbl>
    <w:p/>
    <w:p>
      <w:pPr>
        <w:spacing w:after="80"/>
      </w:pPr>
      <w:r>
        <w:rPr>
          <w:b/>
          <w:i w:val="0"/>
          <w:sz w:val="20"/>
        </w:rPr>
        <w:t>Scenarios excluded from output (No Risk / informational):</w:t>
      </w:r>
    </w:p>
    <w:p>
      <w:pPr>
        <w:pStyle w:val="ListBullet"/>
        <w:spacing w:after="40"/>
        <w:ind w:left="360"/>
      </w:pPr>
      <w:r>
        <w:rPr>
          <w:sz w:val="20"/>
        </w:rPr>
        <w:t>IDR-Q-001: Agreement confirmed — No Risk → NOT written</w:t>
      </w:r>
    </w:p>
    <w:p>
      <w:pPr>
        <w:pStyle w:val="ListBullet"/>
        <w:spacing w:after="40"/>
        <w:ind w:left="360"/>
      </w:pPr>
      <w:r>
        <w:rPr>
          <w:sz w:val="20"/>
        </w:rPr>
        <w:t>Check 1 (Payments to TPIs) → informational, discrepancy captured in IDR-Q-002</w:t>
      </w:r>
    </w:p>
    <w:p>
      <w:pPr>
        <w:pStyle w:val="ListBullet"/>
        <w:spacing w:after="40"/>
        <w:ind w:left="360"/>
      </w:pPr>
      <w:r>
        <w:rPr>
          <w:sz w:val="20"/>
        </w:rPr>
        <w:t>Check 2 (Credit Notes) → no risk threshold breached → NOT written</w:t>
      </w:r>
    </w:p>
    <w:p>
      <w:pPr>
        <w:pStyle w:val="ListBullet"/>
        <w:spacing w:after="40"/>
        <w:ind w:left="360"/>
      </w:pPr>
      <w:r>
        <w:rPr>
          <w:sz w:val="20"/>
        </w:rPr>
        <w:t>Check 3 (Sales &amp; Discounts) → informational → NOT written</w:t>
      </w:r>
    </w:p>
    <w:p>
      <w:pPr>
        <w:pStyle w:val="ListBullet"/>
        <w:spacing w:after="40"/>
        <w:ind w:left="360"/>
      </w:pPr>
      <w:r>
        <w:rPr>
          <w:sz w:val="20"/>
        </w:rPr>
        <w:t>Check 4 (Sales Concentration) → 39.5% &lt; 50% threshold → NOT written</w:t>
      </w:r>
    </w:p>
    <w:p>
      <w:pPr>
        <w:spacing w:before="80" w:after="80"/>
      </w:pPr>
      <w:r>
        <w:rPr>
          <w:color w:val="D6E4F0"/>
          <w:sz w:val="14"/>
        </w:rPr>
        <w:t>────────────────────────────────────────────────────────────────────────────────────────────────────</w:t>
      </w:r>
    </w:p>
    <w:p>
      <w:pPr>
        <w:pStyle w:val="Heading2"/>
        <w:spacing w:before="200" w:after="40"/>
      </w:pPr>
      <w:r>
        <w:rPr>
          <w:color w:val="2E75B6"/>
          <w:sz w:val="26"/>
        </w:rPr>
        <w:t>Output Column Structure (every written row)</w:t>
      </w:r>
    </w:p>
    <w:tbl>
      <w:tblPr>
        <w:tblStyle w:val="TableGrid"/>
        <w:tblW w:type="auto" w:w="0"/>
        <w:tblLook w:firstColumn="1" w:firstRow="1" w:lastColumn="0" w:lastRow="0" w:noHBand="0" w:noVBand="1" w:val="04A0"/>
      </w:tblPr>
      <w:tblGrid>
        <w:gridCol w:w="4873"/>
        <w:gridCol w:w="4873"/>
      </w:tblGrid>
      <w:tr>
        <w:tc>
          <w:tcPr>
            <w:tcW w:type="dxa" w:w="3168"/>
            <w:shd w:val="clear" w:color="auto" w:fill="1F4E78"/>
          </w:tcPr>
          <w:p>
            <w:r>
              <w:rPr>
                <w:b/>
                <w:color w:val="FFFFFF"/>
                <w:sz w:val="18"/>
              </w:rPr>
              <w:t>S.No.</w:t>
            </w:r>
          </w:p>
        </w:tc>
        <w:tc>
          <w:tcPr>
            <w:tcW w:type="dxa" w:w="4873"/>
            <w:shd w:val="clear" w:color="auto" w:fill="F2F2F2"/>
          </w:tcPr>
          <w:p>
            <w:r>
              <w:rPr>
                <w:sz w:val="18"/>
              </w:rPr>
              <w:t>Sequential number across all risk rows</w:t>
            </w:r>
          </w:p>
        </w:tc>
      </w:tr>
      <w:tr>
        <w:tc>
          <w:tcPr>
            <w:tcW w:type="dxa" w:w="3168"/>
            <w:shd w:val="clear" w:color="auto" w:fill="1F4E78"/>
          </w:tcPr>
          <w:p>
            <w:r>
              <w:rPr>
                <w:b/>
                <w:color w:val="FFFFFF"/>
                <w:sz w:val="18"/>
              </w:rPr>
              <w:t>Risk Title</w:t>
            </w:r>
          </w:p>
        </w:tc>
        <w:tc>
          <w:tcPr>
            <w:tcW w:type="dxa" w:w="4873"/>
            <w:shd w:val="clear" w:color="auto" w:fill="F2F2F2"/>
          </w:tcPr>
          <w:p>
            <w:r>
              <w:rPr>
                <w:sz w:val="18"/>
              </w:rPr>
              <w:t>'Potential Risk' or 'Further Review Required'</w:t>
            </w:r>
          </w:p>
        </w:tc>
      </w:tr>
      <w:tr>
        <w:tc>
          <w:tcPr>
            <w:tcW w:type="dxa" w:w="3168"/>
            <w:shd w:val="clear" w:color="auto" w:fill="1F4E78"/>
          </w:tcPr>
          <w:p>
            <w:r>
              <w:rPr>
                <w:b/>
                <w:color w:val="FFFFFF"/>
                <w:sz w:val="18"/>
              </w:rPr>
              <w:t>Risk Type</w:t>
            </w:r>
          </w:p>
        </w:tc>
        <w:tc>
          <w:tcPr>
            <w:tcW w:type="dxa" w:w="4873"/>
            <w:shd w:val="clear" w:color="auto" w:fill="F2F2F2"/>
          </w:tcPr>
          <w:p>
            <w:r>
              <w:rPr>
                <w:sz w:val="18"/>
              </w:rPr>
              <w:t>One-liner describing the specific finding</w:t>
            </w:r>
          </w:p>
        </w:tc>
      </w:tr>
      <w:tr>
        <w:tc>
          <w:tcPr>
            <w:tcW w:type="dxa" w:w="3168"/>
            <w:shd w:val="clear" w:color="auto" w:fill="1F4E78"/>
          </w:tcPr>
          <w:p>
            <w:r>
              <w:rPr>
                <w:b/>
                <w:color w:val="FFFFFF"/>
                <w:sz w:val="18"/>
              </w:rPr>
              <w:t>Risk Score</w:t>
            </w:r>
          </w:p>
        </w:tc>
        <w:tc>
          <w:tcPr>
            <w:tcW w:type="dxa" w:w="4873"/>
            <w:shd w:val="clear" w:color="auto" w:fill="F2F2F2"/>
          </w:tcPr>
          <w:p>
            <w:r>
              <w:rPr>
                <w:sz w:val="18"/>
              </w:rPr>
              <w:t>1 (least risky) to 10 (most risky)</w:t>
            </w:r>
          </w:p>
        </w:tc>
      </w:tr>
      <w:tr>
        <w:tc>
          <w:tcPr>
            <w:tcW w:type="dxa" w:w="3168"/>
            <w:shd w:val="clear" w:color="auto" w:fill="1F4E78"/>
          </w:tcPr>
          <w:p>
            <w:r>
              <w:rPr>
                <w:b/>
                <w:color w:val="FFFFFF"/>
                <w:sz w:val="18"/>
              </w:rPr>
              <w:t>Risk Rationale</w:t>
            </w:r>
          </w:p>
        </w:tc>
        <w:tc>
          <w:tcPr>
            <w:tcW w:type="dxa" w:w="4873"/>
            <w:shd w:val="clear" w:color="auto" w:fill="F2F2F2"/>
          </w:tcPr>
          <w:p>
            <w:r>
              <w:rPr>
                <w:sz w:val="18"/>
              </w:rPr>
              <w:t>Why this is a risk — policy or rule breached</w:t>
            </w:r>
          </w:p>
        </w:tc>
      </w:tr>
      <w:tr>
        <w:tc>
          <w:tcPr>
            <w:tcW w:type="dxa" w:w="3168"/>
            <w:shd w:val="clear" w:color="auto" w:fill="1F4E78"/>
          </w:tcPr>
          <w:p>
            <w:r>
              <w:rPr>
                <w:b/>
                <w:color w:val="FFFFFF"/>
                <w:sz w:val="18"/>
              </w:rPr>
              <w:t>Risk Description</w:t>
            </w:r>
          </w:p>
        </w:tc>
        <w:tc>
          <w:tcPr>
            <w:tcW w:type="dxa" w:w="4873"/>
            <w:shd w:val="clear" w:color="auto" w:fill="F2F2F2"/>
          </w:tcPr>
          <w:p>
            <w:r>
              <w:rPr>
                <w:sz w:val="18"/>
              </w:rPr>
              <w:t>Detailed LLM explanation of what was found</w:t>
            </w:r>
          </w:p>
        </w:tc>
      </w:tr>
      <w:tr>
        <w:tc>
          <w:tcPr>
            <w:tcW w:type="dxa" w:w="3168"/>
            <w:shd w:val="clear" w:color="auto" w:fill="1F4E78"/>
          </w:tcPr>
          <w:p>
            <w:r>
              <w:rPr>
                <w:b/>
                <w:color w:val="FFFFFF"/>
                <w:sz w:val="18"/>
              </w:rPr>
              <w:t>Calculation Evidence</w:t>
            </w:r>
          </w:p>
        </w:tc>
        <w:tc>
          <w:tcPr>
            <w:tcW w:type="dxa" w:w="4873"/>
            <w:shd w:val="clear" w:color="auto" w:fill="F2F2F2"/>
          </w:tcPr>
          <w:p>
            <w:r>
              <w:rPr>
                <w:sz w:val="18"/>
              </w:rPr>
              <w:t>Row-level data values (null for non-data-analysis findings)</w:t>
            </w:r>
          </w:p>
        </w:tc>
      </w:tr>
      <w:tr>
        <w:tc>
          <w:tcPr>
            <w:tcW w:type="dxa" w:w="3168"/>
            <w:shd w:val="clear" w:color="auto" w:fill="1F4E78"/>
          </w:tcPr>
          <w:p>
            <w:r>
              <w:rPr>
                <w:b/>
                <w:color w:val="FFFFFF"/>
                <w:sz w:val="18"/>
              </w:rPr>
              <w:t>Evidence Classification</w:t>
            </w:r>
          </w:p>
        </w:tc>
        <w:tc>
          <w:tcPr>
            <w:tcW w:type="dxa" w:w="4873"/>
            <w:shd w:val="clear" w:color="auto" w:fill="F2F2F2"/>
          </w:tcPr>
          <w:p>
            <w:r>
              <w:rPr>
                <w:sz w:val="18"/>
              </w:rPr>
              <w:t>A / B / C / D / E classification</w:t>
            </w:r>
          </w:p>
        </w:tc>
      </w:tr>
      <w:tr>
        <w:tc>
          <w:tcPr>
            <w:tcW w:type="dxa" w:w="3168"/>
            <w:shd w:val="clear" w:color="auto" w:fill="1F4E78"/>
          </w:tcPr>
          <w:p>
            <w:r>
              <w:rPr>
                <w:b/>
                <w:color w:val="FFFFFF"/>
                <w:sz w:val="18"/>
              </w:rPr>
              <w:t>Evidence Explanation</w:t>
            </w:r>
          </w:p>
        </w:tc>
        <w:tc>
          <w:tcPr>
            <w:tcW w:type="dxa" w:w="4873"/>
            <w:shd w:val="clear" w:color="auto" w:fill="F2F2F2"/>
          </w:tcPr>
          <w:p>
            <w:r>
              <w:rPr>
                <w:sz w:val="18"/>
              </w:rPr>
              <w:t>What the evidence says and how it relates to the finding</w:t>
            </w:r>
          </w:p>
        </w:tc>
      </w:tr>
      <w:tr>
        <w:tc>
          <w:tcPr>
            <w:tcW w:type="dxa" w:w="3168"/>
            <w:shd w:val="clear" w:color="auto" w:fill="1F4E78"/>
          </w:tcPr>
          <w:p>
            <w:r>
              <w:rPr>
                <w:b/>
                <w:color w:val="FFFFFF"/>
                <w:sz w:val="18"/>
              </w:rPr>
              <w:t>Question</w:t>
            </w:r>
          </w:p>
        </w:tc>
        <w:tc>
          <w:tcPr>
            <w:tcW w:type="dxa" w:w="4873"/>
            <w:shd w:val="clear" w:color="auto" w:fill="F2F2F2"/>
          </w:tcPr>
          <w:p>
            <w:r>
              <w:rPr>
                <w:sz w:val="18"/>
              </w:rPr>
              <w:t>From input questionnaire row (null for data-analysis findings)</w:t>
            </w:r>
          </w:p>
        </w:tc>
      </w:tr>
      <w:tr>
        <w:tc>
          <w:tcPr>
            <w:tcW w:type="dxa" w:w="3168"/>
            <w:shd w:val="clear" w:color="auto" w:fill="1F4E78"/>
          </w:tcPr>
          <w:p>
            <w:r>
              <w:rPr>
                <w:b/>
                <w:color w:val="FFFFFF"/>
                <w:sz w:val="18"/>
              </w:rPr>
              <w:t>Response</w:t>
            </w:r>
          </w:p>
        </w:tc>
        <w:tc>
          <w:tcPr>
            <w:tcW w:type="dxa" w:w="4873"/>
            <w:shd w:val="clear" w:color="auto" w:fill="F2F2F2"/>
          </w:tcPr>
          <w:p>
            <w:r>
              <w:rPr>
                <w:sz w:val="18"/>
              </w:rPr>
              <w:t>From input questionnaire row (null for data-analysis findings)</w:t>
            </w:r>
          </w:p>
        </w:tc>
      </w:tr>
      <w:tr>
        <w:tc>
          <w:tcPr>
            <w:tcW w:type="dxa" w:w="3168"/>
            <w:shd w:val="clear" w:color="auto" w:fill="1F4E78"/>
          </w:tcPr>
          <w:p>
            <w:r>
              <w:rPr>
                <w:b/>
                <w:color w:val="FFFFFF"/>
                <w:sz w:val="18"/>
              </w:rPr>
              <w:t>Follow Up Question</w:t>
            </w:r>
          </w:p>
        </w:tc>
        <w:tc>
          <w:tcPr>
            <w:tcW w:type="dxa" w:w="4873"/>
            <w:shd w:val="clear" w:color="auto" w:fill="F2F2F2"/>
          </w:tcPr>
          <w:p>
            <w:r>
              <w:rPr>
                <w:sz w:val="18"/>
              </w:rPr>
              <w:t>From input row if present (null otherwise)</w:t>
            </w:r>
          </w:p>
        </w:tc>
      </w:tr>
      <w:tr>
        <w:tc>
          <w:tcPr>
            <w:tcW w:type="dxa" w:w="3168"/>
            <w:shd w:val="clear" w:color="auto" w:fill="1F4E78"/>
          </w:tcPr>
          <w:p>
            <w:r>
              <w:rPr>
                <w:b/>
                <w:color w:val="FFFFFF"/>
                <w:sz w:val="18"/>
              </w:rPr>
              <w:t>Follow Up Response</w:t>
            </w:r>
          </w:p>
        </w:tc>
        <w:tc>
          <w:tcPr>
            <w:tcW w:type="dxa" w:w="4873"/>
            <w:shd w:val="clear" w:color="auto" w:fill="F2F2F2"/>
          </w:tcPr>
          <w:p>
            <w:r>
              <w:rPr>
                <w:sz w:val="18"/>
              </w:rPr>
              <w:t>From input row if present (null otherwise)</w:t>
            </w:r>
          </w:p>
        </w:tc>
      </w:tr>
      <w:tr>
        <w:tc>
          <w:tcPr>
            <w:tcW w:type="dxa" w:w="3168"/>
            <w:shd w:val="clear" w:color="auto" w:fill="1F4E78"/>
          </w:tcPr>
          <w:p>
            <w:r>
              <w:rPr>
                <w:b/>
                <w:color w:val="FFFFFF"/>
                <w:sz w:val="18"/>
              </w:rPr>
              <w:t>Source Details</w:t>
            </w:r>
          </w:p>
        </w:tc>
        <w:tc>
          <w:tcPr>
            <w:tcW w:type="dxa" w:w="4873"/>
            <w:shd w:val="clear" w:color="auto" w:fill="F2F2F2"/>
          </w:tcPr>
          <w:p>
            <w:r>
              <w:rPr>
                <w:sz w:val="18"/>
              </w:rPr>
              <w:t>Document name, section, page, table name, SQL query reference</w:t>
            </w:r>
          </w:p>
        </w:tc>
      </w:tr>
    </w:tbl>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