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AI Auditor — FCPA TPI Due Diligence Platform</w:t>
      </w:r>
    </w:p>
    <w:p>
      <w:pPr>
        <w:jc w:val="center"/>
      </w:pPr>
      <w:r>
        <w:rPr>
          <w:color w:val="555555"/>
          <w:sz w:val="26"/>
        </w:rPr>
        <w:t>Guardrails, Validators &amp; Metrics — System Protection Reference</w:t>
      </w:r>
    </w:p>
    <w:p>
      <w:pPr>
        <w:jc w:val="center"/>
      </w:pPr>
      <w:r>
        <w:rPr>
          <w:color w:val="555555"/>
          <w:sz w:val="18"/>
        </w:rPr>
        <w:t>Johnson &amp; Johnson — Global Audit &amp; Assurance (CA&amp;I)    |    Generated 04 September 2026</w:t>
      </w:r>
    </w:p>
    <w:p/>
    <w:p>
      <w:pPr>
        <w:pStyle w:val="Heading1"/>
      </w:pPr>
      <w:r>
        <w:rPr>
          <w:color w:val="1E3A5F"/>
        </w:rPr>
        <w:t>1. Overview</w:t>
      </w:r>
    </w:p>
    <w:p>
      <w:pPr>
        <w:spacing w:after="120"/>
      </w:pPr>
      <w:r>
        <w:rPr>
          <w:b w:val="0"/>
          <w:i w:val="0"/>
          <w:sz w:val="21"/>
        </w:rPr>
        <w:t>The AI Auditor is a multi-agent, retrieval-augmented compliance-analysis platform that reviews Third-Party Intermediary (TPI) questionnaire responses and transactional data against the J&amp;J HCBI/HCC and FCPA frameworks. Because the system produces audit conclusions from an LLM, protection is layered across three independent lines of defence:</w:t>
      </w:r>
    </w:p>
    <w:p>
      <w:pPr>
        <w:pStyle w:val="ListBullet"/>
      </w:pPr>
      <w:r>
        <w:rPr>
          <w:b/>
        </w:rPr>
        <w:t xml:space="preserve">Guardrails — </w:t>
      </w:r>
      <w:r>
        <w:t>prompt-level constraints that bound what each agent may say and do.</w:t>
      </w:r>
    </w:p>
    <w:p>
      <w:pPr>
        <w:pStyle w:val="ListBullet"/>
      </w:pPr>
      <w:r>
        <w:rPr>
          <w:b/>
        </w:rPr>
        <w:t xml:space="preserve">Validators — </w:t>
      </w:r>
      <w:r>
        <w:t>schema and code-level checks that reject malformed or unsafe data before it propagates.</w:t>
      </w:r>
    </w:p>
    <w:p>
      <w:pPr>
        <w:pStyle w:val="ListBullet"/>
      </w:pPr>
      <w:r>
        <w:rPr>
          <w:b/>
        </w:rPr>
        <w:t xml:space="preserve">Metrics — </w:t>
      </w:r>
      <w:r>
        <w:t>thresholds and counters that quantify confidence, severity, and operational health.</w:t>
      </w:r>
    </w:p>
    <w:p>
      <w:pPr>
        <w:spacing w:after="120"/>
      </w:pPr>
      <w:r>
        <w:rPr>
          <w:b w:val="0"/>
          <w:i/>
          <w:color w:val="555555"/>
          <w:sz w:val="21"/>
        </w:rPr>
        <w:t>This document is the consolidated reference for all three. It reflects the controls implemented in the codebase (prompt guardrail library, Pydantic models, deterministic supervisor gates, SQL safety layer, and the output-writer sanitisers).</w:t>
      </w:r>
    </w:p>
    <w:p>
      <w:pPr>
        <w:pStyle w:val="Heading1"/>
      </w:pPr>
      <w:r>
        <w:rPr>
          <w:color w:val="1E3A5F"/>
        </w:rPr>
        <w:t>2. Guardrails (Prompt-Level Constraints)</w:t>
      </w:r>
    </w:p>
    <w:p>
      <w:pPr>
        <w:spacing w:after="120"/>
      </w:pPr>
      <w:r>
        <w:rPr>
          <w:b w:val="0"/>
          <w:i w:val="0"/>
          <w:sz w:val="21"/>
        </w:rPr>
        <w:t>Guardrails are injected into every agent prompt as absolute constraints that override any other instruction. A shared UNIVERSAL block (G1–G6) applies to every agent; role-specific blocks (G7–G10) add constraints tailored to each agent's job.</w:t>
      </w:r>
    </w:p>
    <w:p>
      <w:pPr>
        <w:pStyle w:val="Heading2"/>
      </w:pPr>
      <w:r>
        <w:rPr>
          <w:color w:val="1E3A5F"/>
        </w:rPr>
        <w:t>2.1 Universal Guardrails (all agents)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fill="1E3A5F"/>
          </w:tcPr>
          <w:p>
            <w:r/>
            <w:r>
              <w:rPr>
                <w:b/>
                <w:color w:val="FFFFFF"/>
                <w:sz w:val="19"/>
              </w:rPr>
              <w:t>ID</w:t>
            </w:r>
          </w:p>
        </w:tc>
        <w:tc>
          <w:tcPr>
            <w:tcW w:type="dxa" w:w="2880"/>
            <w:shd w:val="clear" w:fill="1E3A5F"/>
          </w:tcPr>
          <w:p>
            <w:r/>
            <w:r>
              <w:rPr>
                <w:b/>
                <w:color w:val="FFFFFF"/>
                <w:sz w:val="19"/>
              </w:rPr>
              <w:t>Guardrail</w:t>
            </w:r>
          </w:p>
        </w:tc>
        <w:tc>
          <w:tcPr>
            <w:tcW w:type="dxa" w:w="6480"/>
            <w:shd w:val="clear" w:fill="1E3A5F"/>
          </w:tcPr>
          <w:p>
            <w:r/>
            <w:r>
              <w:rPr>
                <w:b/>
                <w:color w:val="FFFFFF"/>
                <w:sz w:val="19"/>
              </w:rPr>
              <w:t>What it prevents</w:t>
            </w:r>
          </w:p>
        </w:tc>
      </w:tr>
      <w:tr>
        <w:tc>
          <w:tcPr>
            <w:tcW w:type="dxa" w:w="720"/>
          </w:tcPr>
          <w:p>
            <w:r/>
            <w:r>
              <w:rPr>
                <w:sz w:val="18"/>
              </w:rPr>
              <w:t>G1</w:t>
            </w:r>
          </w:p>
        </w:tc>
        <w:tc>
          <w:tcPr>
            <w:tcW w:type="dxa" w:w="2880"/>
          </w:tcPr>
          <w:p>
            <w:r/>
            <w:r>
              <w:rPr>
                <w:sz w:val="18"/>
              </w:rPr>
              <w:t>Role Boundary</w:t>
            </w:r>
          </w:p>
        </w:tc>
        <w:tc>
          <w:tcPr>
            <w:tcW w:type="dxa" w:w="6480"/>
          </w:tcPr>
          <w:p>
            <w:r/>
            <w:r>
              <w:rPr>
                <w:sz w:val="18"/>
              </w:rPr>
              <w:t>An agent doing another agent's job or completing the pipeline unilaterally.</w:t>
            </w:r>
          </w:p>
        </w:tc>
      </w:tr>
      <w:tr>
        <w:tc>
          <w:tcPr>
            <w:tcW w:type="dxa" w:w="720"/>
          </w:tcPr>
          <w:p>
            <w:r/>
            <w:r>
              <w:rPr>
                <w:sz w:val="18"/>
              </w:rPr>
              <w:t>G2</w:t>
            </w:r>
          </w:p>
        </w:tc>
        <w:tc>
          <w:tcPr>
            <w:tcW w:type="dxa" w:w="2880"/>
          </w:tcPr>
          <w:p>
            <w:r/>
            <w:r>
              <w:rPr>
                <w:sz w:val="18"/>
              </w:rPr>
              <w:t>No Hallucination</w:t>
            </w:r>
          </w:p>
        </w:tc>
        <w:tc>
          <w:tcPr>
            <w:tcW w:type="dxa" w:w="6480"/>
          </w:tcPr>
          <w:p>
            <w:r/>
            <w:r>
              <w:rPr>
                <w:sz w:val="18"/>
              </w:rPr>
              <w:t>Invented facts, document names, sections, page/clause numbers, or policy requirements.</w:t>
            </w:r>
          </w:p>
        </w:tc>
      </w:tr>
      <w:tr>
        <w:tc>
          <w:tcPr>
            <w:tcW w:type="dxa" w:w="720"/>
          </w:tcPr>
          <w:p>
            <w:r/>
            <w:r>
              <w:rPr>
                <w:sz w:val="18"/>
              </w:rPr>
              <w:t>G3</w:t>
            </w:r>
          </w:p>
        </w:tc>
        <w:tc>
          <w:tcPr>
            <w:tcW w:type="dxa" w:w="2880"/>
          </w:tcPr>
          <w:p>
            <w:r/>
            <w:r>
              <w:rPr>
                <w:sz w:val="18"/>
              </w:rPr>
              <w:t>No Context Echo</w:t>
            </w:r>
          </w:p>
        </w:tc>
        <w:tc>
          <w:tcPr>
            <w:tcW w:type="dxa" w:w="6480"/>
          </w:tcPr>
          <w:p>
            <w:r/>
            <w:r>
              <w:rPr>
                <w:sz w:val="18"/>
              </w:rPr>
              <w:t>Verbatim reproduction of the question, response, follow-ups, or retrieved chunks.</w:t>
            </w:r>
          </w:p>
        </w:tc>
      </w:tr>
      <w:tr>
        <w:tc>
          <w:tcPr>
            <w:tcW w:type="dxa" w:w="720"/>
          </w:tcPr>
          <w:p>
            <w:r/>
            <w:r>
              <w:rPr>
                <w:sz w:val="18"/>
              </w:rPr>
              <w:t>G4</w:t>
            </w:r>
          </w:p>
        </w:tc>
        <w:tc>
          <w:tcPr>
            <w:tcW w:type="dxa" w:w="2880"/>
          </w:tcPr>
          <w:p>
            <w:r/>
            <w:r>
              <w:rPr>
                <w:sz w:val="18"/>
              </w:rPr>
              <w:t>Format Compliance</w:t>
            </w:r>
          </w:p>
        </w:tc>
        <w:tc>
          <w:tcPr>
            <w:tcW w:type="dxa" w:w="6480"/>
          </w:tcPr>
          <w:p>
            <w:r/>
            <w:r>
              <w:rPr>
                <w:sz w:val="18"/>
              </w:rPr>
              <w:t>Extra headers, commentary, confidence scores, or fields beyond the required format.</w:t>
            </w:r>
          </w:p>
        </w:tc>
      </w:tr>
      <w:tr>
        <w:tc>
          <w:tcPr>
            <w:tcW w:type="dxa" w:w="720"/>
          </w:tcPr>
          <w:p>
            <w:r/>
            <w:r>
              <w:rPr>
                <w:sz w:val="18"/>
              </w:rPr>
              <w:t>G5</w:t>
            </w:r>
          </w:p>
        </w:tc>
        <w:tc>
          <w:tcPr>
            <w:tcW w:type="dxa" w:w="2880"/>
          </w:tcPr>
          <w:p>
            <w:r/>
            <w:r>
              <w:rPr>
                <w:sz w:val="18"/>
              </w:rPr>
              <w:t>Evidence Boundary</w:t>
            </w:r>
          </w:p>
        </w:tc>
        <w:tc>
          <w:tcPr>
            <w:tcW w:type="dxa" w:w="6480"/>
          </w:tcPr>
          <w:p>
            <w:r/>
            <w:r>
              <w:rPr>
                <w:sz w:val="18"/>
              </w:rPr>
              <w:t>Use of external/industry knowledge or assumptions not present in the provided context.</w:t>
            </w:r>
          </w:p>
        </w:tc>
      </w:tr>
      <w:tr>
        <w:tc>
          <w:tcPr>
            <w:tcW w:type="dxa" w:w="720"/>
          </w:tcPr>
          <w:p>
            <w:r/>
            <w:r>
              <w:rPr>
                <w:sz w:val="18"/>
              </w:rPr>
              <w:t>G6</w:t>
            </w:r>
          </w:p>
        </w:tc>
        <w:tc>
          <w:tcPr>
            <w:tcW w:type="dxa" w:w="2880"/>
          </w:tcPr>
          <w:p>
            <w:r/>
            <w:r>
              <w:rPr>
                <w:sz w:val="18"/>
              </w:rPr>
              <w:t>Uncertainty Handling</w:t>
            </w:r>
          </w:p>
        </w:tc>
        <w:tc>
          <w:tcPr>
            <w:tcW w:type="dxa" w:w="6480"/>
          </w:tcPr>
          <w:p>
            <w:r/>
            <w:r>
              <w:rPr>
                <w:sz w:val="18"/>
              </w:rPr>
              <w:t>Guessing a conclusion; forces defined uncertainty language instead.</w:t>
            </w:r>
          </w:p>
        </w:tc>
      </w:tr>
    </w:tbl>
    <w:p>
      <w:pPr>
        <w:pStyle w:val="Heading2"/>
      </w:pPr>
      <w:r>
        <w:rPr>
          <w:color w:val="1E3A5F"/>
        </w:rPr>
        <w:t>2.2 Retrieval Agents (HCBI, Policy, Supporting Docs)</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fill="1E3A5F"/>
          </w:tcPr>
          <w:p>
            <w:r/>
            <w:r>
              <w:rPr>
                <w:b/>
                <w:color w:val="FFFFFF"/>
                <w:sz w:val="19"/>
              </w:rPr>
              <w:t>ID</w:t>
            </w:r>
          </w:p>
        </w:tc>
        <w:tc>
          <w:tcPr>
            <w:tcW w:type="dxa" w:w="3744"/>
            <w:shd w:val="clear" w:fill="1E3A5F"/>
          </w:tcPr>
          <w:p>
            <w:r/>
            <w:r>
              <w:rPr>
                <w:b/>
                <w:color w:val="FFFFFF"/>
                <w:sz w:val="19"/>
              </w:rPr>
              <w:t>Guardrail</w:t>
            </w:r>
          </w:p>
        </w:tc>
        <w:tc>
          <w:tcPr>
            <w:tcW w:type="dxa" w:w="5616"/>
            <w:shd w:val="clear" w:fill="1E3A5F"/>
          </w:tcPr>
          <w:p>
            <w:r/>
            <w:r>
              <w:rPr>
                <w:b/>
                <w:color w:val="FFFFFF"/>
                <w:sz w:val="19"/>
              </w:rPr>
              <w:t>Effect</w:t>
            </w:r>
          </w:p>
        </w:tc>
      </w:tr>
      <w:tr>
        <w:tc>
          <w:tcPr>
            <w:tcW w:type="dxa" w:w="720"/>
          </w:tcPr>
          <w:p>
            <w:r/>
            <w:r>
              <w:rPr>
                <w:sz w:val="18"/>
              </w:rPr>
              <w:t>G7</w:t>
            </w:r>
          </w:p>
        </w:tc>
        <w:tc>
          <w:tcPr>
            <w:tcW w:type="dxa" w:w="3744"/>
          </w:tcPr>
          <w:p>
            <w:r/>
            <w:r>
              <w:rPr>
                <w:sz w:val="18"/>
              </w:rPr>
              <w:t>Retrieval Only — No Risk Assessment</w:t>
            </w:r>
          </w:p>
        </w:tc>
        <w:tc>
          <w:tcPr>
            <w:tcW w:type="dxa" w:w="5616"/>
          </w:tcPr>
          <w:p>
            <w:r/>
            <w:r>
              <w:rPr>
                <w:sz w:val="18"/>
              </w:rPr>
              <w:t>Retrieval agents may not assign risk or draw conclusions; output is raw evidence only.</w:t>
            </w:r>
          </w:p>
        </w:tc>
      </w:tr>
      <w:tr>
        <w:tc>
          <w:tcPr>
            <w:tcW w:type="dxa" w:w="720"/>
          </w:tcPr>
          <w:p>
            <w:r/>
            <w:r>
              <w:rPr>
                <w:sz w:val="18"/>
              </w:rPr>
              <w:t>G8</w:t>
            </w:r>
          </w:p>
        </w:tc>
        <w:tc>
          <w:tcPr>
            <w:tcW w:type="dxa" w:w="3744"/>
          </w:tcPr>
          <w:p>
            <w:r/>
            <w:r>
              <w:rPr>
                <w:sz w:val="18"/>
              </w:rPr>
              <w:t>No Invented Content</w:t>
            </w:r>
          </w:p>
        </w:tc>
        <w:tc>
          <w:tcPr>
            <w:tcW w:type="dxa" w:w="5616"/>
          </w:tcPr>
          <w:p>
            <w:r/>
            <w:r>
              <w:rPr>
                <w:sz w:val="18"/>
              </w:rPr>
              <w:t>Only tool-returned content is reported; empty results say 'No relevant content found'.</w:t>
            </w:r>
          </w:p>
        </w:tc>
      </w:tr>
      <w:tr>
        <w:tc>
          <w:tcPr>
            <w:tcW w:type="dxa" w:w="720"/>
          </w:tcPr>
          <w:p>
            <w:r/>
            <w:r>
              <w:rPr>
                <w:sz w:val="18"/>
              </w:rPr>
              <w:t>G9</w:t>
            </w:r>
          </w:p>
        </w:tc>
        <w:tc>
          <w:tcPr>
            <w:tcW w:type="dxa" w:w="3744"/>
          </w:tcPr>
          <w:p>
            <w:r/>
            <w:r>
              <w:rPr>
                <w:sz w:val="18"/>
              </w:rPr>
              <w:t>Tool-Call Discipline</w:t>
            </w:r>
          </w:p>
        </w:tc>
        <w:tc>
          <w:tcPr>
            <w:tcW w:type="dxa" w:w="5616"/>
          </w:tcPr>
          <w:p>
            <w:r/>
            <w:r>
              <w:rPr>
                <w:sz w:val="18"/>
              </w:rPr>
              <w:t>Each retrieval tool is called only the specified number of times; no near-duplicate retries.</w:t>
            </w:r>
          </w:p>
        </w:tc>
      </w:tr>
    </w:tbl>
    <w:p>
      <w:pPr>
        <w:pStyle w:val="Heading2"/>
      </w:pPr>
      <w:r>
        <w:rPr>
          <w:color w:val="1E3A5F"/>
        </w:rPr>
        <w:t>2.3 Transactional / SQL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fill="1E3A5F"/>
          </w:tcPr>
          <w:p>
            <w:r/>
            <w:r>
              <w:rPr>
                <w:b/>
                <w:color w:val="FFFFFF"/>
                <w:sz w:val="19"/>
              </w:rPr>
              <w:t>ID</w:t>
            </w:r>
          </w:p>
        </w:tc>
        <w:tc>
          <w:tcPr>
            <w:tcW w:type="dxa" w:w="3744"/>
            <w:shd w:val="clear" w:fill="1E3A5F"/>
          </w:tcPr>
          <w:p>
            <w:r/>
            <w:r>
              <w:rPr>
                <w:b/>
                <w:color w:val="FFFFFF"/>
                <w:sz w:val="19"/>
              </w:rPr>
              <w:t>Guardrail</w:t>
            </w:r>
          </w:p>
        </w:tc>
        <w:tc>
          <w:tcPr>
            <w:tcW w:type="dxa" w:w="5616"/>
            <w:shd w:val="clear" w:fill="1E3A5F"/>
          </w:tcPr>
          <w:p>
            <w:r/>
            <w:r>
              <w:rPr>
                <w:b/>
                <w:color w:val="FFFFFF"/>
                <w:sz w:val="19"/>
              </w:rPr>
              <w:t>Effect</w:t>
            </w:r>
          </w:p>
        </w:tc>
      </w:tr>
      <w:tr>
        <w:tc>
          <w:tcPr>
            <w:tcW w:type="dxa" w:w="720"/>
          </w:tcPr>
          <w:p>
            <w:r/>
            <w:r>
              <w:rPr>
                <w:sz w:val="18"/>
              </w:rPr>
              <w:t>G7</w:t>
            </w:r>
          </w:p>
        </w:tc>
        <w:tc>
          <w:tcPr>
            <w:tcW w:type="dxa" w:w="3744"/>
          </w:tcPr>
          <w:p>
            <w:r/>
            <w:r>
              <w:rPr>
                <w:sz w:val="18"/>
              </w:rPr>
              <w:t>Read-Only SQL (strict)</w:t>
            </w:r>
          </w:p>
        </w:tc>
        <w:tc>
          <w:tcPr>
            <w:tcW w:type="dxa" w:w="5616"/>
          </w:tcPr>
          <w:p>
            <w:r/>
            <w:r>
              <w:rPr>
                <w:sz w:val="18"/>
              </w:rPr>
              <w:t>SELECT only. INSERT/UPDATE/DELETE/DROP/CREATE/ALTER/TRUNCATE/MERGE are refused.</w:t>
            </w:r>
          </w:p>
        </w:tc>
      </w:tr>
      <w:tr>
        <w:tc>
          <w:tcPr>
            <w:tcW w:type="dxa" w:w="720"/>
          </w:tcPr>
          <w:p>
            <w:r/>
            <w:r>
              <w:rPr>
                <w:sz w:val="18"/>
              </w:rPr>
              <w:t>G8</w:t>
            </w:r>
          </w:p>
        </w:tc>
        <w:tc>
          <w:tcPr>
            <w:tcW w:type="dxa" w:w="3744"/>
          </w:tcPr>
          <w:p>
            <w:r/>
            <w:r>
              <w:rPr>
                <w:sz w:val="18"/>
              </w:rPr>
              <w:t>Schema First — No Assumed Columns</w:t>
            </w:r>
          </w:p>
        </w:tc>
        <w:tc>
          <w:tcPr>
            <w:tcW w:type="dxa" w:w="5616"/>
          </w:tcPr>
          <w:p>
            <w:r/>
            <w:r>
              <w:rPr>
                <w:sz w:val="18"/>
              </w:rPr>
              <w:t>Column existence must be confirmed against the schema before use.</w:t>
            </w:r>
          </w:p>
        </w:tc>
      </w:tr>
      <w:tr>
        <w:tc>
          <w:tcPr>
            <w:tcW w:type="dxa" w:w="720"/>
          </w:tcPr>
          <w:p>
            <w:r/>
            <w:r>
              <w:rPr>
                <w:sz w:val="18"/>
              </w:rPr>
              <w:t>G9</w:t>
            </w:r>
          </w:p>
        </w:tc>
        <w:tc>
          <w:tcPr>
            <w:tcW w:type="dxa" w:w="3744"/>
          </w:tcPr>
          <w:p>
            <w:r/>
            <w:r>
              <w:rPr>
                <w:sz w:val="18"/>
              </w:rPr>
              <w:t>No Fabricated Results</w:t>
            </w:r>
          </w:p>
        </w:tc>
        <w:tc>
          <w:tcPr>
            <w:tcW w:type="dxa" w:w="5616"/>
          </w:tcPr>
          <w:p>
            <w:r/>
            <w:r>
              <w:rPr>
                <w:sz w:val="18"/>
              </w:rPr>
              <w:t>Zero-row results are stated as such; no invented rows, amounts, vendors, or dates.</w:t>
            </w:r>
          </w:p>
        </w:tc>
      </w:tr>
    </w:tbl>
    <w:p>
      <w:pPr>
        <w:pStyle w:val="Heading2"/>
      </w:pPr>
      <w:r>
        <w:rPr>
          <w:color w:val="1E3A5F"/>
        </w:rPr>
        <w:t>2.4 Risk Classifier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fill="1E3A5F"/>
          </w:tcPr>
          <w:p>
            <w:r/>
            <w:r>
              <w:rPr>
                <w:b/>
                <w:color w:val="FFFFFF"/>
                <w:sz w:val="19"/>
              </w:rPr>
              <w:t>ID</w:t>
            </w:r>
          </w:p>
        </w:tc>
        <w:tc>
          <w:tcPr>
            <w:tcW w:type="dxa" w:w="3744"/>
            <w:shd w:val="clear" w:fill="1E3A5F"/>
          </w:tcPr>
          <w:p>
            <w:r/>
            <w:r>
              <w:rPr>
                <w:b/>
                <w:color w:val="FFFFFF"/>
                <w:sz w:val="19"/>
              </w:rPr>
              <w:t>Guardrail</w:t>
            </w:r>
          </w:p>
        </w:tc>
        <w:tc>
          <w:tcPr>
            <w:tcW w:type="dxa" w:w="5616"/>
            <w:shd w:val="clear" w:fill="1E3A5F"/>
          </w:tcPr>
          <w:p>
            <w:r/>
            <w:r>
              <w:rPr>
                <w:b/>
                <w:color w:val="FFFFFF"/>
                <w:sz w:val="19"/>
              </w:rPr>
              <w:t>Effect</w:t>
            </w:r>
          </w:p>
        </w:tc>
      </w:tr>
      <w:tr>
        <w:tc>
          <w:tcPr>
            <w:tcW w:type="dxa" w:w="720"/>
          </w:tcPr>
          <w:p>
            <w:r/>
            <w:r>
              <w:rPr>
                <w:sz w:val="18"/>
              </w:rPr>
              <w:t>G7</w:t>
            </w:r>
          </w:p>
        </w:tc>
        <w:tc>
          <w:tcPr>
            <w:tcW w:type="dxa" w:w="3744"/>
          </w:tcPr>
          <w:p>
            <w:r/>
            <w:r>
              <w:rPr>
                <w:sz w:val="18"/>
              </w:rPr>
              <w:t>Do Not Write Writer Fields</w:t>
            </w:r>
          </w:p>
        </w:tc>
        <w:tc>
          <w:tcPr>
            <w:tcW w:type="dxa" w:w="5616"/>
          </w:tcPr>
          <w:p>
            <w:r/>
            <w:r>
              <w:rPr>
                <w:sz w:val="18"/>
              </w:rPr>
              <w:t>Classifier may not produce description/rationale/scope/citation fields.</w:t>
            </w:r>
          </w:p>
        </w:tc>
      </w:tr>
      <w:tr>
        <w:tc>
          <w:tcPr>
            <w:tcW w:type="dxa" w:w="720"/>
          </w:tcPr>
          <w:p>
            <w:r/>
            <w:r>
              <w:rPr>
                <w:sz w:val="18"/>
              </w:rPr>
              <w:t>G8</w:t>
            </w:r>
          </w:p>
        </w:tc>
        <w:tc>
          <w:tcPr>
            <w:tcW w:type="dxa" w:w="3744"/>
          </w:tcPr>
          <w:p>
            <w:r/>
            <w:r>
              <w:rPr>
                <w:sz w:val="18"/>
              </w:rPr>
              <w:t>Exact Nine-Line Output</w:t>
            </w:r>
          </w:p>
        </w:tc>
        <w:tc>
          <w:tcPr>
            <w:tcW w:type="dxa" w:w="5616"/>
          </w:tcPr>
          <w:p>
            <w:r/>
            <w:r>
              <w:rPr>
                <w:sz w:val="18"/>
              </w:rPr>
              <w:t>Only the fixed nine-line classification block is returned.</w:t>
            </w:r>
          </w:p>
        </w:tc>
      </w:tr>
      <w:tr>
        <w:tc>
          <w:tcPr>
            <w:tcW w:type="dxa" w:w="720"/>
          </w:tcPr>
          <w:p>
            <w:r/>
            <w:r>
              <w:rPr>
                <w:sz w:val="18"/>
              </w:rPr>
              <w:t>G9</w:t>
            </w:r>
          </w:p>
        </w:tc>
        <w:tc>
          <w:tcPr>
            <w:tcW w:type="dxa" w:w="3744"/>
          </w:tcPr>
          <w:p>
            <w:r/>
            <w:r>
              <w:rPr>
                <w:sz w:val="18"/>
              </w:rPr>
              <w:t>No Post-Hoc Softening</w:t>
            </w:r>
          </w:p>
        </w:tc>
        <w:tc>
          <w:tcPr>
            <w:tcW w:type="dxa" w:w="5616"/>
          </w:tcPr>
          <w:p>
            <w:r/>
            <w:r>
              <w:rPr>
                <w:sz w:val="18"/>
              </w:rPr>
              <w:t>The determination cannot be hedged or reversed in trailing text.</w:t>
            </w:r>
          </w:p>
        </w:tc>
      </w:tr>
    </w:tbl>
    <w:p>
      <w:pPr>
        <w:pStyle w:val="Heading2"/>
      </w:pPr>
      <w:r>
        <w:rPr>
          <w:color w:val="1E3A5F"/>
        </w:rPr>
        <w:t>2.5 Risk Writer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fill="1E3A5F"/>
          </w:tcPr>
          <w:p>
            <w:r/>
            <w:r>
              <w:rPr>
                <w:b/>
                <w:color w:val="FFFFFF"/>
                <w:sz w:val="19"/>
              </w:rPr>
              <w:t>ID</w:t>
            </w:r>
          </w:p>
        </w:tc>
        <w:tc>
          <w:tcPr>
            <w:tcW w:type="dxa" w:w="3744"/>
            <w:shd w:val="clear" w:fill="1E3A5F"/>
          </w:tcPr>
          <w:p>
            <w:r/>
            <w:r>
              <w:rPr>
                <w:b/>
                <w:color w:val="FFFFFF"/>
                <w:sz w:val="19"/>
              </w:rPr>
              <w:t>Guardrail</w:t>
            </w:r>
          </w:p>
        </w:tc>
        <w:tc>
          <w:tcPr>
            <w:tcW w:type="dxa" w:w="5616"/>
            <w:shd w:val="clear" w:fill="1E3A5F"/>
          </w:tcPr>
          <w:p>
            <w:r/>
            <w:r>
              <w:rPr>
                <w:b/>
                <w:color w:val="FFFFFF"/>
                <w:sz w:val="19"/>
              </w:rPr>
              <w:t>Effect</w:t>
            </w:r>
          </w:p>
        </w:tc>
      </w:tr>
      <w:tr>
        <w:tc>
          <w:tcPr>
            <w:tcW w:type="dxa" w:w="720"/>
          </w:tcPr>
          <w:p>
            <w:r/>
            <w:r>
              <w:rPr>
                <w:sz w:val="18"/>
              </w:rPr>
              <w:t>G7</w:t>
            </w:r>
          </w:p>
        </w:tc>
        <w:tc>
          <w:tcPr>
            <w:tcW w:type="dxa" w:w="3744"/>
          </w:tcPr>
          <w:p>
            <w:r/>
            <w:r>
              <w:rPr>
                <w:sz w:val="18"/>
              </w:rPr>
              <w:t>Trust the Classification Decision</w:t>
            </w:r>
          </w:p>
        </w:tc>
        <w:tc>
          <w:tcPr>
            <w:tcW w:type="dxa" w:w="5616"/>
          </w:tcPr>
          <w:p>
            <w:r/>
            <w:r>
              <w:rPr>
                <w:sz w:val="18"/>
              </w:rPr>
              <w:t>Risk Type and Category are copied exactly, never silently overridden.</w:t>
            </w:r>
          </w:p>
        </w:tc>
      </w:tr>
      <w:tr>
        <w:tc>
          <w:tcPr>
            <w:tcW w:type="dxa" w:w="720"/>
          </w:tcPr>
          <w:p>
            <w:r/>
            <w:r>
              <w:rPr>
                <w:sz w:val="18"/>
              </w:rPr>
              <w:t>G8</w:t>
            </w:r>
          </w:p>
        </w:tc>
        <w:tc>
          <w:tcPr>
            <w:tcW w:type="dxa" w:w="3744"/>
          </w:tcPr>
          <w:p>
            <w:r/>
            <w:r>
              <w:rPr>
                <w:sz w:val="18"/>
              </w:rPr>
              <w:t>No Invented Citations</w:t>
            </w:r>
          </w:p>
        </w:tc>
        <w:tc>
          <w:tcPr>
            <w:tcW w:type="dxa" w:w="5616"/>
          </w:tcPr>
          <w:p>
            <w:r/>
            <w:r>
              <w:rPr>
                <w:sz w:val="18"/>
              </w:rPr>
              <w:t>Every filename/section/page/reference must appear verbatim in retrieved context, else 'Not Available'.</w:t>
            </w:r>
          </w:p>
        </w:tc>
      </w:tr>
      <w:tr>
        <w:tc>
          <w:tcPr>
            <w:tcW w:type="dxa" w:w="720"/>
          </w:tcPr>
          <w:p>
            <w:r/>
            <w:r>
              <w:rPr>
                <w:sz w:val="18"/>
              </w:rPr>
              <w:t>G9</w:t>
            </w:r>
          </w:p>
        </w:tc>
        <w:tc>
          <w:tcPr>
            <w:tcW w:type="dxa" w:w="3744"/>
          </w:tcPr>
          <w:p>
            <w:r/>
            <w:r>
              <w:rPr>
                <w:sz w:val="18"/>
              </w:rPr>
              <w:t>Fixed Fields, Exact Order</w:t>
            </w:r>
          </w:p>
        </w:tc>
        <w:tc>
          <w:tcPr>
            <w:tcW w:type="dxa" w:w="5616"/>
          </w:tcPr>
          <w:p>
            <w:r/>
            <w:r>
              <w:rPr>
                <w:sz w:val="18"/>
              </w:rPr>
              <w:t>Only the specified labelled fields, in order — no added columns or scores.</w:t>
            </w:r>
          </w:p>
        </w:tc>
      </w:tr>
    </w:tbl>
    <w:p>
      <w:pPr>
        <w:pStyle w:val="Heading2"/>
      </w:pPr>
      <w:r>
        <w:rPr>
          <w:color w:val="1E3A5F"/>
        </w:rPr>
        <w:t>2.6 Scope Identifier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fill="1E3A5F"/>
          </w:tcPr>
          <w:p>
            <w:r/>
            <w:r>
              <w:rPr>
                <w:b/>
                <w:color w:val="FFFFFF"/>
                <w:sz w:val="19"/>
              </w:rPr>
              <w:t>ID</w:t>
            </w:r>
          </w:p>
        </w:tc>
        <w:tc>
          <w:tcPr>
            <w:tcW w:type="dxa" w:w="3456"/>
            <w:shd w:val="clear" w:fill="1E3A5F"/>
          </w:tcPr>
          <w:p>
            <w:r/>
            <w:r>
              <w:rPr>
                <w:b/>
                <w:color w:val="FFFFFF"/>
                <w:sz w:val="19"/>
              </w:rPr>
              <w:t>Guardrail</w:t>
            </w:r>
          </w:p>
        </w:tc>
        <w:tc>
          <w:tcPr>
            <w:tcW w:type="dxa" w:w="5904"/>
            <w:shd w:val="clear" w:fill="1E3A5F"/>
          </w:tcPr>
          <w:p>
            <w:r/>
            <w:r>
              <w:rPr>
                <w:b/>
                <w:color w:val="FFFFFF"/>
                <w:sz w:val="19"/>
              </w:rPr>
              <w:t>Effect</w:t>
            </w:r>
          </w:p>
        </w:tc>
      </w:tr>
      <w:tr>
        <w:tc>
          <w:tcPr>
            <w:tcW w:type="dxa" w:w="720"/>
          </w:tcPr>
          <w:p>
            <w:r/>
            <w:r>
              <w:rPr>
                <w:sz w:val="18"/>
              </w:rPr>
              <w:t>G7</w:t>
            </w:r>
          </w:p>
        </w:tc>
        <w:tc>
          <w:tcPr>
            <w:tcW w:type="dxa" w:w="3456"/>
          </w:tcPr>
          <w:p>
            <w:r/>
            <w:r>
              <w:rPr>
                <w:sz w:val="18"/>
              </w:rPr>
              <w:t>Valid Scope IDs Only</w:t>
            </w:r>
          </w:p>
        </w:tc>
        <w:tc>
          <w:tcPr>
            <w:tcW w:type="dxa" w:w="5904"/>
          </w:tcPr>
          <w:p>
            <w:r/>
            <w:r>
              <w:rPr>
                <w:sz w:val="18"/>
              </w:rPr>
              <w:t>Output restricted to the 48 defined FCPA scope IDs; no invented/abbreviated IDs.</w:t>
            </w:r>
          </w:p>
        </w:tc>
      </w:tr>
      <w:tr>
        <w:tc>
          <w:tcPr>
            <w:tcW w:type="dxa" w:w="720"/>
          </w:tcPr>
          <w:p>
            <w:r/>
            <w:r>
              <w:rPr>
                <w:sz w:val="18"/>
              </w:rPr>
              <w:t>G8</w:t>
            </w:r>
          </w:p>
        </w:tc>
        <w:tc>
          <w:tcPr>
            <w:tcW w:type="dxa" w:w="3456"/>
          </w:tcPr>
          <w:p>
            <w:r/>
            <w:r>
              <w:rPr>
                <w:sz w:val="18"/>
              </w:rPr>
              <w:t>Exact Four-Line Format</w:t>
            </w:r>
          </w:p>
        </w:tc>
        <w:tc>
          <w:tcPr>
            <w:tcW w:type="dxa" w:w="5904"/>
          </w:tcPr>
          <w:p>
            <w:r/>
            <w:r>
              <w:rPr>
                <w:sz w:val="18"/>
              </w:rPr>
              <w:t>Only the Primary/Additional/Reasoning/Confidence block is returned.</w:t>
            </w:r>
          </w:p>
        </w:tc>
      </w:tr>
      <w:tr>
        <w:tc>
          <w:tcPr>
            <w:tcW w:type="dxa" w:w="720"/>
          </w:tcPr>
          <w:p>
            <w:r/>
            <w:r>
              <w:rPr>
                <w:sz w:val="18"/>
              </w:rPr>
              <w:t>G9</w:t>
            </w:r>
          </w:p>
        </w:tc>
        <w:tc>
          <w:tcPr>
            <w:tcW w:type="dxa" w:w="3456"/>
          </w:tcPr>
          <w:p>
            <w:r/>
            <w:r>
              <w:rPr>
                <w:sz w:val="18"/>
              </w:rPr>
              <w:t>No Risk Assessment</w:t>
            </w:r>
          </w:p>
        </w:tc>
        <w:tc>
          <w:tcPr>
            <w:tcW w:type="dxa" w:w="5904"/>
          </w:tcPr>
          <w:p>
            <w:r/>
            <w:r>
              <w:rPr>
                <w:sz w:val="18"/>
              </w:rPr>
              <w:t>Scope identification is routing only — no risk verdict.</w:t>
            </w:r>
          </w:p>
        </w:tc>
      </w:tr>
      <w:tr>
        <w:tc>
          <w:tcPr>
            <w:tcW w:type="dxa" w:w="720"/>
          </w:tcPr>
          <w:p>
            <w:r/>
            <w:r>
              <w:rPr>
                <w:sz w:val="18"/>
              </w:rPr>
              <w:t>G10</w:t>
            </w:r>
          </w:p>
        </w:tc>
        <w:tc>
          <w:tcPr>
            <w:tcW w:type="dxa" w:w="3456"/>
          </w:tcPr>
          <w:p>
            <w:r/>
            <w:r>
              <w:rPr>
                <w:sz w:val="18"/>
              </w:rPr>
              <w:t>Confidence Calibration</w:t>
            </w:r>
          </w:p>
        </w:tc>
        <w:tc>
          <w:tcPr>
            <w:tcW w:type="dxa" w:w="5904"/>
          </w:tcPr>
          <w:p>
            <w:r/>
            <w:r>
              <w:rPr>
                <w:sz w:val="18"/>
              </w:rPr>
              <w:t>Confidence bands (high &gt;=0.85, moderate 0.70-0.84, low &lt;0.70) are defined and enforced downstream.</w:t>
            </w:r>
          </w:p>
        </w:tc>
      </w:tr>
    </w:tbl>
    <w:p>
      <w:pPr>
        <w:pStyle w:val="Heading2"/>
      </w:pPr>
      <w:r>
        <w:rPr>
          <w:color w:val="1E3A5F"/>
        </w:rPr>
        <w:t>2.7 Classifier Decision Guardrails (business rules)</w:t>
      </w:r>
    </w:p>
    <w:p>
      <w:pPr>
        <w:pStyle w:val="ListBullet"/>
      </w:pPr>
      <w:r>
        <w:rPr>
          <w:b/>
        </w:rPr>
        <w:t xml:space="preserve">N/A -&gt; No Risk: </w:t>
      </w:r>
      <w:r>
        <w:t>Blank / N/A / 'No' / 'None' / deflection responses with no follow-up are auto-classified as No Risk Identified (a generic response alone is never treated as non-compliance).</w:t>
      </w:r>
    </w:p>
    <w:p>
      <w:pPr>
        <w:pStyle w:val="ListBullet"/>
      </w:pPr>
      <w:r>
        <w:rPr>
          <w:b/>
        </w:rPr>
        <w:t xml:space="preserve">Scope-boundary test: </w:t>
      </w:r>
      <w:r>
        <w:t>If the control tested belongs exclusively to another scope area, it is assigned No Risk Identified for TPI DD.</w:t>
      </w:r>
    </w:p>
    <w:p>
      <w:pPr>
        <w:pStyle w:val="ListBullet"/>
      </w:pPr>
      <w:r>
        <w:rPr>
          <w:b/>
        </w:rPr>
        <w:t xml:space="preserve">Evidence-gated severity: </w:t>
      </w:r>
      <w:r>
        <w:t>Potential Risk may only be raised when a breached policy is present in the retrieved context; missing evidence routes to Further Review Required, not a fabricated Potential Risk.</w:t>
      </w:r>
    </w:p>
    <w:p>
      <w:pPr>
        <w:pStyle w:val="ListBullet"/>
      </w:pPr>
      <w:r>
        <w:rPr>
          <w:b/>
        </w:rPr>
        <w:t xml:space="preserve">Category anchors: </w:t>
      </w:r>
      <w:r>
        <w:t>Risk Category (High/Medium/Low/No Risk) is assigned by an explicit 6-rule bifurcation with two enforced anchors: High =&gt; Potential Risk; No Risk &lt;=&gt; No Risk Identified.</w:t>
      </w:r>
    </w:p>
    <w:p>
      <w:pPr>
        <w:pStyle w:val="Heading1"/>
      </w:pPr>
      <w:r>
        <w:rPr>
          <w:color w:val="1E3A5F"/>
        </w:rPr>
        <w:t>3. Validators (Schema &amp; Code-Level Checks)</w:t>
      </w:r>
    </w:p>
    <w:p>
      <w:pPr>
        <w:spacing w:after="120"/>
      </w:pPr>
      <w:r>
        <w:rPr>
          <w:b w:val="0"/>
          <w:i w:val="0"/>
          <w:sz w:val="21"/>
        </w:rPr>
        <w:t>Validators are deterministic checks in Pydantic models and pipeline code. They reject malformed, out-of-range, or unsafe data before it can reach the output or the database.</w:t>
      </w:r>
    </w:p>
    <w:p>
      <w:pPr>
        <w:pStyle w:val="Heading2"/>
      </w:pPr>
      <w:r>
        <w:rPr>
          <w:color w:val="1E3A5F"/>
        </w:rPr>
        <w:t>3.1 Data-Model Validators (Pydantic)</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fill="1E3A5F"/>
          </w:tcPr>
          <w:p>
            <w:r/>
            <w:r>
              <w:rPr>
                <w:b/>
                <w:color w:val="FFFFFF"/>
                <w:sz w:val="19"/>
              </w:rPr>
              <w:t>Model / Field</w:t>
            </w:r>
          </w:p>
        </w:tc>
        <w:tc>
          <w:tcPr>
            <w:tcW w:type="dxa" w:w="2736"/>
            <w:shd w:val="clear" w:fill="1E3A5F"/>
          </w:tcPr>
          <w:p>
            <w:r/>
            <w:r>
              <w:rPr>
                <w:b/>
                <w:color w:val="FFFFFF"/>
                <w:sz w:val="19"/>
              </w:rPr>
              <w:t>Validator</w:t>
            </w:r>
          </w:p>
        </w:tc>
        <w:tc>
          <w:tcPr>
            <w:tcW w:type="dxa" w:w="3600"/>
            <w:shd w:val="clear" w:fill="1E3A5F"/>
          </w:tcPr>
          <w:p>
            <w:r/>
            <w:r>
              <w:rPr>
                <w:b/>
                <w:color w:val="FFFFFF"/>
                <w:sz w:val="19"/>
              </w:rPr>
              <w:t>Rule enforced</w:t>
            </w:r>
          </w:p>
        </w:tc>
      </w:tr>
      <w:tr>
        <w:tc>
          <w:tcPr>
            <w:tcW w:type="dxa" w:w="3744"/>
          </w:tcPr>
          <w:p>
            <w:r/>
            <w:r>
              <w:rPr>
                <w:sz w:val="18"/>
              </w:rPr>
              <w:t>AuditQuestion.question_text / response_text</w:t>
            </w:r>
          </w:p>
        </w:tc>
        <w:tc>
          <w:tcPr>
            <w:tcW w:type="dxa" w:w="2736"/>
          </w:tcPr>
          <w:p>
            <w:r/>
            <w:r>
              <w:rPr>
                <w:sz w:val="18"/>
              </w:rPr>
              <w:t>must_not_be_empty / strip</w:t>
            </w:r>
          </w:p>
        </w:tc>
        <w:tc>
          <w:tcPr>
            <w:tcW w:type="dxa" w:w="3600"/>
          </w:tcPr>
          <w:p>
            <w:r/>
            <w:r>
              <w:rPr>
                <w:sz w:val="18"/>
              </w:rPr>
              <w:t>Non-empty after trimming; whitespace stripped.</w:t>
            </w:r>
          </w:p>
        </w:tc>
      </w:tr>
      <w:tr>
        <w:tc>
          <w:tcPr>
            <w:tcW w:type="dxa" w:w="3744"/>
          </w:tcPr>
          <w:p>
            <w:r/>
            <w:r>
              <w:rPr>
                <w:sz w:val="18"/>
              </w:rPr>
              <w:t>AuditQuestion.questionnaire_type</w:t>
            </w:r>
          </w:p>
        </w:tc>
        <w:tc>
          <w:tcPr>
            <w:tcW w:type="dxa" w:w="2736"/>
          </w:tcPr>
          <w:p>
            <w:r/>
            <w:r>
              <w:rPr>
                <w:sz w:val="18"/>
              </w:rPr>
              <w:t>validate_questionnaire_type</w:t>
            </w:r>
          </w:p>
        </w:tc>
        <w:tc>
          <w:tcPr>
            <w:tcW w:type="dxa" w:w="3600"/>
          </w:tcPr>
          <w:p>
            <w:r/>
            <w:r>
              <w:rPr>
                <w:sz w:val="18"/>
              </w:rPr>
              <w:t>Must be one of {planning, idr}.</w:t>
            </w:r>
          </w:p>
        </w:tc>
      </w:tr>
      <w:tr>
        <w:tc>
          <w:tcPr>
            <w:tcW w:type="dxa" w:w="3744"/>
          </w:tcPr>
          <w:p>
            <w:r/>
            <w:r>
              <w:rPr>
                <w:sz w:val="18"/>
              </w:rPr>
              <w:t>DocumentChunk.token_count</w:t>
            </w:r>
          </w:p>
        </w:tc>
        <w:tc>
          <w:tcPr>
            <w:tcW w:type="dxa" w:w="2736"/>
          </w:tcPr>
          <w:p>
            <w:r/>
            <w:r>
              <w:rPr>
                <w:sz w:val="18"/>
              </w:rPr>
              <w:t>validate_token_count</w:t>
            </w:r>
          </w:p>
        </w:tc>
        <w:tc>
          <w:tcPr>
            <w:tcW w:type="dxa" w:w="3600"/>
          </w:tcPr>
          <w:p>
            <w:r/>
            <w:r>
              <w:rPr>
                <w:sz w:val="18"/>
              </w:rPr>
              <w:t>Must be a positive integer.</w:t>
            </w:r>
          </w:p>
        </w:tc>
      </w:tr>
      <w:tr>
        <w:tc>
          <w:tcPr>
            <w:tcW w:type="dxa" w:w="3744"/>
          </w:tcPr>
          <w:p>
            <w:r/>
            <w:r>
              <w:rPr>
                <w:sz w:val="18"/>
              </w:rPr>
              <w:t>DocumentChunk / RetrievedChunk.similarity_score</w:t>
            </w:r>
          </w:p>
        </w:tc>
        <w:tc>
          <w:tcPr>
            <w:tcW w:type="dxa" w:w="2736"/>
          </w:tcPr>
          <w:p>
            <w:r/>
            <w:r>
              <w:rPr>
                <w:sz w:val="18"/>
              </w:rPr>
              <w:t>validate_similarity</w:t>
            </w:r>
          </w:p>
        </w:tc>
        <w:tc>
          <w:tcPr>
            <w:tcW w:type="dxa" w:w="3600"/>
          </w:tcPr>
          <w:p>
            <w:r/>
            <w:r>
              <w:rPr>
                <w:sz w:val="18"/>
              </w:rPr>
              <w:t>Bounded 0.0-1.0.</w:t>
            </w:r>
          </w:p>
        </w:tc>
      </w:tr>
      <w:tr>
        <w:tc>
          <w:tcPr>
            <w:tcW w:type="dxa" w:w="3744"/>
          </w:tcPr>
          <w:p>
            <w:r/>
            <w:r>
              <w:rPr>
                <w:sz w:val="18"/>
              </w:rPr>
              <w:t>RetrievedChunk.content</w:t>
            </w:r>
          </w:p>
        </w:tc>
        <w:tc>
          <w:tcPr>
            <w:tcW w:type="dxa" w:w="2736"/>
          </w:tcPr>
          <w:p>
            <w:r/>
            <w:r>
              <w:rPr>
                <w:sz w:val="18"/>
              </w:rPr>
              <w:t>content_not_empty</w:t>
            </w:r>
          </w:p>
        </w:tc>
        <w:tc>
          <w:tcPr>
            <w:tcW w:type="dxa" w:w="3600"/>
          </w:tcPr>
          <w:p>
            <w:r/>
            <w:r>
              <w:rPr>
                <w:sz w:val="18"/>
              </w:rPr>
              <w:t>Chunk content must not be empty.</w:t>
            </w:r>
          </w:p>
        </w:tc>
      </w:tr>
      <w:tr>
        <w:tc>
          <w:tcPr>
            <w:tcW w:type="dxa" w:w="3744"/>
          </w:tcPr>
          <w:p>
            <w:r/>
            <w:r>
              <w:rPr>
                <w:sz w:val="18"/>
              </w:rPr>
              <w:t>ScopeAssignment.scope_id</w:t>
            </w:r>
          </w:p>
        </w:tc>
        <w:tc>
          <w:tcPr>
            <w:tcW w:type="dxa" w:w="2736"/>
          </w:tcPr>
          <w:p>
            <w:r/>
            <w:r>
              <w:rPr>
                <w:sz w:val="18"/>
              </w:rPr>
              <w:t>scope_id_not_empty</w:t>
            </w:r>
          </w:p>
        </w:tc>
        <w:tc>
          <w:tcPr>
            <w:tcW w:type="dxa" w:w="3600"/>
          </w:tcPr>
          <w:p>
            <w:r/>
            <w:r>
              <w:rPr>
                <w:sz w:val="18"/>
              </w:rPr>
              <w:t>Non-empty; normalised to UPPERCASE.</w:t>
            </w:r>
          </w:p>
        </w:tc>
      </w:tr>
      <w:tr>
        <w:tc>
          <w:tcPr>
            <w:tcW w:type="dxa" w:w="3744"/>
          </w:tcPr>
          <w:p>
            <w:r/>
            <w:r>
              <w:rPr>
                <w:sz w:val="18"/>
              </w:rPr>
              <w:t>ScopeAssignment.confidence_score</w:t>
            </w:r>
          </w:p>
        </w:tc>
        <w:tc>
          <w:tcPr>
            <w:tcW w:type="dxa" w:w="2736"/>
          </w:tcPr>
          <w:p>
            <w:r/>
            <w:r>
              <w:rPr>
                <w:sz w:val="18"/>
              </w:rPr>
              <w:t>Field(ge=0, le=1)</w:t>
            </w:r>
          </w:p>
        </w:tc>
        <w:tc>
          <w:tcPr>
            <w:tcW w:type="dxa" w:w="3600"/>
          </w:tcPr>
          <w:p>
            <w:r/>
            <w:r>
              <w:rPr>
                <w:sz w:val="18"/>
              </w:rPr>
              <w:t>Bounded 0.0-1.0.</w:t>
            </w:r>
          </w:p>
        </w:tc>
      </w:tr>
      <w:tr>
        <w:tc>
          <w:tcPr>
            <w:tcW w:type="dxa" w:w="3744"/>
          </w:tcPr>
          <w:p>
            <w:r/>
            <w:r>
              <w:rPr>
                <w:sz w:val="18"/>
              </w:rPr>
              <w:t>RiskOutput.risk_score</w:t>
            </w:r>
          </w:p>
        </w:tc>
        <w:tc>
          <w:tcPr>
            <w:tcW w:type="dxa" w:w="2736"/>
          </w:tcPr>
          <w:p>
            <w:r/>
            <w:r>
              <w:rPr>
                <w:sz w:val="18"/>
              </w:rPr>
              <w:t>Field(ge=1, le=10)</w:t>
            </w:r>
          </w:p>
        </w:tc>
        <w:tc>
          <w:tcPr>
            <w:tcW w:type="dxa" w:w="3600"/>
          </w:tcPr>
          <w:p>
            <w:r/>
            <w:r>
              <w:rPr>
                <w:sz w:val="18"/>
              </w:rPr>
              <w:t>Score constrained to the 1-10 band.</w:t>
            </w:r>
          </w:p>
        </w:tc>
      </w:tr>
      <w:tr>
        <w:tc>
          <w:tcPr>
            <w:tcW w:type="dxa" w:w="3744"/>
          </w:tcPr>
          <w:p>
            <w:r/>
            <w:r>
              <w:rPr>
                <w:sz w:val="18"/>
              </w:rPr>
              <w:t>RiskOutput text fields</w:t>
            </w:r>
          </w:p>
        </w:tc>
        <w:tc>
          <w:tcPr>
            <w:tcW w:type="dxa" w:w="2736"/>
          </w:tcPr>
          <w:p>
            <w:r/>
            <w:r>
              <w:rPr>
                <w:sz w:val="18"/>
              </w:rPr>
              <w:t>no_empty_strings</w:t>
            </w:r>
          </w:p>
        </w:tc>
        <w:tc>
          <w:tcPr>
            <w:tcW w:type="dxa" w:w="3600"/>
          </w:tcPr>
          <w:p>
            <w:r/>
            <w:r>
              <w:rPr>
                <w:sz w:val="18"/>
              </w:rPr>
              <w:t>risk_type/description/rationale/reasoning/evidence must be non-empty.</w:t>
            </w:r>
          </w:p>
        </w:tc>
      </w:tr>
      <w:tr>
        <w:tc>
          <w:tcPr>
            <w:tcW w:type="dxa" w:w="3744"/>
          </w:tcPr>
          <w:p>
            <w:r/>
            <w:r>
              <w:rPr>
                <w:sz w:val="18"/>
              </w:rPr>
              <w:t>TransactionalResult.row_count</w:t>
            </w:r>
          </w:p>
        </w:tc>
        <w:tc>
          <w:tcPr>
            <w:tcW w:type="dxa" w:w="2736"/>
          </w:tcPr>
          <w:p>
            <w:r/>
            <w:r>
              <w:rPr>
                <w:sz w:val="18"/>
              </w:rPr>
              <w:t>validate_row_count</w:t>
            </w:r>
          </w:p>
        </w:tc>
        <w:tc>
          <w:tcPr>
            <w:tcW w:type="dxa" w:w="3600"/>
          </w:tcPr>
          <w:p>
            <w:r/>
            <w:r>
              <w:rPr>
                <w:sz w:val="18"/>
              </w:rPr>
              <w:t>row_count must equal the actual number of returned rows.</w:t>
            </w:r>
          </w:p>
        </w:tc>
      </w:tr>
      <w:tr>
        <w:tc>
          <w:tcPr>
            <w:tcW w:type="dxa" w:w="3744"/>
          </w:tcPr>
          <w:p>
            <w:r/>
            <w:r>
              <w:rPr>
                <w:sz w:val="18"/>
              </w:rPr>
              <w:t>RiskFinding.risk_score / validation_score</w:t>
            </w:r>
          </w:p>
        </w:tc>
        <w:tc>
          <w:tcPr>
            <w:tcW w:type="dxa" w:w="2736"/>
          </w:tcPr>
          <w:p>
            <w:r/>
            <w:r>
              <w:rPr>
                <w:sz w:val="18"/>
              </w:rPr>
              <w:t>Field(ge=0, le=10)</w:t>
            </w:r>
          </w:p>
        </w:tc>
        <w:tc>
          <w:tcPr>
            <w:tcW w:type="dxa" w:w="3600"/>
          </w:tcPr>
          <w:p>
            <w:r/>
            <w:r>
              <w:rPr>
                <w:sz w:val="18"/>
              </w:rPr>
              <w:t>Bounded severity/validation scores.</w:t>
            </w:r>
          </w:p>
        </w:tc>
      </w:tr>
    </w:tbl>
    <w:p>
      <w:pPr>
        <w:pStyle w:val="Heading2"/>
      </w:pPr>
      <w:r>
        <w:rPr>
          <w:color w:val="1E3A5F"/>
        </w:rPr>
        <w:t>3.2 SQL Safety Layer (Transactional Analysis)</w:t>
      </w:r>
    </w:p>
    <w:p>
      <w:pPr>
        <w:pStyle w:val="ListBullet"/>
      </w:pPr>
      <w:r>
        <w:rPr>
          <w:b/>
        </w:rPr>
        <w:t xml:space="preserve">Read-only execution: </w:t>
      </w:r>
      <w:r>
        <w:t>All generated queries are SELECT-only; the SQLAlchemy engine is used for read access to Databricks.</w:t>
      </w:r>
    </w:p>
    <w:p>
      <w:pPr>
        <w:pStyle w:val="ListBullet"/>
      </w:pPr>
      <w:r>
        <w:rPr>
          <w:b/>
        </w:rPr>
        <w:t xml:space="preserve">Type-safe casting: </w:t>
      </w:r>
      <w:r>
        <w:t>Numeric columns stored as STRING are wrapped in try_cast(... AS DOUBLE); a single malformed value returns NULL instead of failing the whole query (prevents CAST_INVALID_INPUT crashes).</w:t>
      </w:r>
    </w:p>
    <w:p>
      <w:pPr>
        <w:pStyle w:val="ListBullet"/>
      </w:pPr>
      <w:r>
        <w:rPr>
          <w:b/>
        </w:rPr>
        <w:t xml:space="preserve">LIMIT enforcement: </w:t>
      </w:r>
      <w:r>
        <w:t>Row counts are forced deterministically by _apply_limit() — the sample size = Expected Sample Size (CPR col K) + 5 buffer; any LLM-supplied LIMIT is overridden. Calculation queries are hard-capped at 25 rows.</w:t>
      </w:r>
    </w:p>
    <w:p>
      <w:pPr>
        <w:pStyle w:val="ListBullet"/>
      </w:pPr>
      <w:r>
        <w:rPr>
          <w:b/>
        </w:rPr>
        <w:t xml:space="preserve">Projection &amp; provenance: </w:t>
      </w:r>
      <w:r>
        <w:t>Sample queries are rewritten to SELECT * so the full transaction record is captured, and the exact source table is extracted from the FROM clause for traceability.</w:t>
      </w:r>
    </w:p>
    <w:p>
      <w:pPr>
        <w:pStyle w:val="ListBullet"/>
      </w:pPr>
      <w:r>
        <w:rPr>
          <w:b/>
        </w:rPr>
        <w:t xml:space="preserve">Schema grounding: </w:t>
      </w:r>
      <w:r>
        <w:t>Column names/types are read from DESCRIBE and passed to the model so it cannot assume non-existent columns.</w:t>
      </w:r>
    </w:p>
    <w:p>
      <w:pPr>
        <w:pStyle w:val="Heading2"/>
      </w:pPr>
      <w:r>
        <w:rPr>
          <w:color w:val="1E3A5F"/>
        </w:rPr>
        <w:t>3.3 Output Sanitisers &amp; Pipeline Guards</w:t>
      </w:r>
    </w:p>
    <w:p>
      <w:pPr>
        <w:pStyle w:val="ListBullet"/>
      </w:pPr>
      <w:r>
        <w:rPr>
          <w:b/>
        </w:rPr>
        <w:t xml:space="preserve">Input-echo detection: </w:t>
      </w:r>
      <w:r>
        <w:t>_looks_like_input_echo() detects when the model echoed the input prompt back and suppresses it from the output row (defends G3 at write time).</w:t>
      </w:r>
    </w:p>
    <w:p>
      <w:pPr>
        <w:pStyle w:val="ListBullet"/>
      </w:pPr>
      <w:r>
        <w:rPr>
          <w:b/>
        </w:rPr>
        <w:t xml:space="preserve">Quantitative-signal gate: </w:t>
      </w:r>
      <w:r>
        <w:t>The transactional agent runs only when risk evaluation flags transactional_intent AND the response contains a real numeric/currency signal (_has_quantitative_signal). This deterministic gate blocks needless or ungrounded DB queries.</w:t>
      </w:r>
    </w:p>
    <w:p>
      <w:pPr>
        <w:pStyle w:val="ListBullet"/>
      </w:pPr>
      <w:r>
        <w:rPr>
          <w:b/>
        </w:rPr>
        <w:t xml:space="preserve">Header-based summary: </w:t>
      </w:r>
      <w:r>
        <w:t>Summary counts are resolved by header name (not fixed column index), so column additions cannot silently corrupt the Output-B roll-up.</w:t>
      </w:r>
    </w:p>
    <w:p>
      <w:pPr>
        <w:pStyle w:val="ListBullet"/>
      </w:pPr>
      <w:r>
        <w:rPr>
          <w:b/>
        </w:rPr>
        <w:t xml:space="preserve">Confidence fallback: </w:t>
      </w:r>
      <w:r>
        <w:t>Scope routing below the moderate confidence floor falls back to unfiltered retrieval (ANY_SCOPE) rather than forcing a wrong scope.</w:t>
      </w:r>
    </w:p>
    <w:p>
      <w:pPr>
        <w:pStyle w:val="ListBullet"/>
      </w:pPr>
      <w:r>
        <w:rPr>
          <w:b/>
        </w:rPr>
        <w:t xml:space="preserve">Ingestion guard: </w:t>
      </w:r>
      <w:r>
        <w:t>PDF pages with fewer than PDF_MIN_TEXT_CHARS (20) characters of extracted text are routed to OCR, preventing empty/scanned pages from producing blank chunks.</w:t>
      </w:r>
    </w:p>
    <w:p>
      <w:pPr>
        <w:pStyle w:val="Heading2"/>
      </w:pPr>
      <w:r>
        <w:rPr>
          <w:color w:val="1E3A5F"/>
        </w:rPr>
        <w:t>3.4 Schema Validation</w:t>
      </w:r>
    </w:p>
    <w:p>
      <w:pPr>
        <w:spacing w:after="120"/>
      </w:pPr>
      <w:r>
        <w:rPr>
          <w:b w:val="0"/>
          <w:i w:val="0"/>
          <w:sz w:val="21"/>
        </w:rPr>
        <w:t>Every object that crosses an agent or storage boundary is bound to an explicit, typed schema. Construction fails fast if the shape or type is wrong, so malformed data cannot propagate.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fill="1E3A5F"/>
          </w:tcPr>
          <w:p>
            <w:r/>
            <w:r>
              <w:rPr>
                <w:b/>
                <w:color w:val="FFFFFF"/>
                <w:sz w:val="19"/>
              </w:rPr>
              <w:t>Schema</w:t>
            </w:r>
          </w:p>
        </w:tc>
        <w:tc>
          <w:tcPr>
            <w:tcW w:type="dxa" w:w="3024"/>
            <w:shd w:val="clear" w:fill="1E3A5F"/>
          </w:tcPr>
          <w:p>
            <w:r/>
            <w:r>
              <w:rPr>
                <w:b/>
                <w:color w:val="FFFFFF"/>
                <w:sz w:val="19"/>
              </w:rPr>
              <w:t>Where</w:t>
            </w:r>
          </w:p>
        </w:tc>
        <w:tc>
          <w:tcPr>
            <w:tcW w:type="dxa" w:w="4608"/>
            <w:shd w:val="clear" w:fill="1E3A5F"/>
          </w:tcPr>
          <w:p>
            <w:r/>
            <w:r>
              <w:rPr>
                <w:b/>
                <w:color w:val="FFFFFF"/>
                <w:sz w:val="19"/>
              </w:rPr>
              <w:t>What it enforces</w:t>
            </w:r>
          </w:p>
        </w:tc>
      </w:tr>
      <w:tr>
        <w:tc>
          <w:tcPr>
            <w:tcW w:type="dxa" w:w="2448"/>
          </w:tcPr>
          <w:p>
            <w:r/>
            <w:r>
              <w:rPr>
                <w:sz w:val="18"/>
              </w:rPr>
              <w:t>Typed data models (Pydantic)</w:t>
            </w:r>
          </w:p>
        </w:tc>
        <w:tc>
          <w:tcPr>
            <w:tcW w:type="dxa" w:w="3024"/>
          </w:tcPr>
          <w:p>
            <w:r/>
            <w:r>
              <w:rPr>
                <w:sz w:val="18"/>
              </w:rPr>
              <w:t>src/schemas/state.py, src/models/schemas.py</w:t>
            </w:r>
          </w:p>
        </w:tc>
        <w:tc>
          <w:tcPr>
            <w:tcW w:type="dxa" w:w="4608"/>
          </w:tcPr>
          <w:p>
            <w:r/>
            <w:r>
              <w:rPr>
                <w:sz w:val="18"/>
              </w:rPr>
              <w:t>All inter-agent objects (AuditQuestion, DocumentChunk, RetrievedChunk, ScopeAssignment, RiskFinding, RiskOutput, TransactionalResult, ScopeAreaSummary) are typed BaseModels; wrong types/missing fields raise at construction.</w:t>
            </w:r>
          </w:p>
        </w:tc>
      </w:tr>
      <w:tr>
        <w:tc>
          <w:tcPr>
            <w:tcW w:type="dxa" w:w="2448"/>
          </w:tcPr>
          <w:p>
            <w:r/>
            <w:r>
              <w:rPr>
                <w:sz w:val="18"/>
              </w:rPr>
              <w:t>Controlled vocabularies (Enums)</w:t>
            </w:r>
          </w:p>
        </w:tc>
        <w:tc>
          <w:tcPr>
            <w:tcW w:type="dxa" w:w="3024"/>
          </w:tcPr>
          <w:p>
            <w:r/>
            <w:r>
              <w:rPr>
                <w:sz w:val="18"/>
              </w:rPr>
              <w:t>RiskType, RiskLevel, DocumentSource, questionnaire_type</w:t>
            </w:r>
          </w:p>
        </w:tc>
        <w:tc>
          <w:tcPr>
            <w:tcW w:type="dxa" w:w="4608"/>
          </w:tcPr>
          <w:p>
            <w:r/>
            <w:r>
              <w:rPr>
                <w:sz w:val="18"/>
              </w:rPr>
              <w:t>Only defined values are accepted (e.g. Potential Risk / Further Review Required / No Risk Identified; planning / idr).</w:t>
            </w:r>
          </w:p>
        </w:tc>
      </w:tr>
      <w:tr>
        <w:tc>
          <w:tcPr>
            <w:tcW w:type="dxa" w:w="2448"/>
          </w:tcPr>
          <w:p>
            <w:r/>
            <w:r>
              <w:rPr>
                <w:sz w:val="18"/>
              </w:rPr>
              <w:t>Vector index schema</w:t>
            </w:r>
          </w:p>
        </w:tc>
        <w:tc>
          <w:tcPr>
            <w:tcW w:type="dxa" w:w="3024"/>
          </w:tcPr>
          <w:p>
            <w:r/>
            <w:r>
              <w:rPr>
                <w:sz w:val="18"/>
              </w:rPr>
              <w:t>VectorIndexManager.ensure_index (create_direct_access_index)</w:t>
            </w:r>
          </w:p>
        </w:tc>
        <w:tc>
          <w:tcPr>
            <w:tcW w:type="dxa" w:w="4608"/>
          </w:tcPr>
          <w:p>
            <w:r/>
            <w:r>
              <w:rPr>
                <w:sz w:val="18"/>
              </w:rPr>
              <w:t>Explicit typed columns: chunk_id (primary key), content (text), embedding array&lt;float&gt; of fixed dimension, and typed metadata columns — stored &amp; queried records must conform.</w:t>
            </w:r>
          </w:p>
        </w:tc>
      </w:tr>
      <w:tr>
        <w:tc>
          <w:tcPr>
            <w:tcW w:type="dxa" w:w="2448"/>
          </w:tcPr>
          <w:p>
            <w:r/>
            <w:r>
              <w:rPr>
                <w:sz w:val="18"/>
              </w:rPr>
              <w:t>Database table schema grounding</w:t>
            </w:r>
          </w:p>
        </w:tc>
        <w:tc>
          <w:tcPr>
            <w:tcW w:type="dxa" w:w="3024"/>
          </w:tcPr>
          <w:p>
            <w:r/>
            <w:r>
              <w:rPr>
                <w:sz w:val="18"/>
              </w:rPr>
              <w:t>_get_table_schema via DESCRIBE</w:t>
            </w:r>
          </w:p>
        </w:tc>
        <w:tc>
          <w:tcPr>
            <w:tcW w:type="dxa" w:w="4608"/>
          </w:tcPr>
          <w:p>
            <w:r/>
            <w:r>
              <w:rPr>
                <w:sz w:val="18"/>
              </w:rPr>
              <w:t>Real column names + data types are read from the warehouse and passed to the model, so generated SQL cannot reference non-existent columns and numeric casts match the true type.</w:t>
            </w:r>
          </w:p>
        </w:tc>
      </w:tr>
      <w:tr>
        <w:tc>
          <w:tcPr>
            <w:tcW w:type="dxa" w:w="2448"/>
          </w:tcPr>
          <w:p>
            <w:r/>
            <w:r>
              <w:rPr>
                <w:sz w:val="18"/>
              </w:rPr>
              <w:t>Excel output schema</w:t>
            </w:r>
          </w:p>
        </w:tc>
        <w:tc>
          <w:tcPr>
            <w:tcW w:type="dxa" w:w="3024"/>
          </w:tcPr>
          <w:p>
            <w:r/>
            <w:r>
              <w:rPr>
                <w:sz w:val="18"/>
              </w:rPr>
              <w:t>_OUTPUT_A_COLUMNS in output_repo.py</w:t>
            </w:r>
          </w:p>
        </w:tc>
        <w:tc>
          <w:tcPr>
            <w:tcW w:type="dxa" w:w="4608"/>
          </w:tcPr>
          <w:p>
            <w:r/>
            <w:r>
              <w:rPr>
                <w:sz w:val="18"/>
              </w:rPr>
              <w:t>Fixed, ordered column contract for the risk-detail sheet; the summary sheet resolves columns by header name so schema changes cannot silently mis-map counts.</w:t>
            </w:r>
          </w:p>
        </w:tc>
      </w:tr>
    </w:tbl>
    <w:p>
      <w:pPr>
        <w:pStyle w:val="Heading2"/>
      </w:pPr>
      <w:r>
        <w:rPr>
          <w:color w:val="1E3A5F"/>
        </w:rPr>
        <w:t>3.5 Structured Output Validation</w:t>
      </w:r>
    </w:p>
    <w:p>
      <w:pPr>
        <w:spacing w:after="120"/>
      </w:pPr>
      <w:r>
        <w:rPr>
          <w:b w:val="0"/>
          <w:i w:val="0"/>
          <w:sz w:val="21"/>
        </w:rPr>
        <w:t>LLM responses are never trusted as-is. Each agent output is parsed, type-checked, coerced to the expected structure, and safely defaulted on failure — a bad response degrades gracefully instead of crashing.</w:t>
      </w:r>
    </w:p>
    <w:p>
      <w:pPr>
        <w:pStyle w:val="ListBullet"/>
      </w:pPr>
      <w:r>
        <w:rPr>
          <w:b/>
        </w:rPr>
        <w:t xml:space="preserve">JSON parsing &amp; type-guarding: </w:t>
      </w:r>
      <w:r>
        <w:t>Transactional agent responses (risk assessment and calc-SQL) are markdown-fence-stripped, parsed with json.loads, and type-guarded with isinstance checks; a stray {"risks":[...]} shape is tolerated by taking the first entry, and any parse failure returns a safe empty object (routes to No Risk, never a crash).</w:t>
      </w:r>
    </w:p>
    <w:p>
      <w:pPr>
        <w:pStyle w:val="ListBullet"/>
      </w:pPr>
      <w:r>
        <w:rPr>
          <w:b/>
        </w:rPr>
        <w:t xml:space="preserve">Labelled-field extraction: </w:t>
      </w:r>
      <w:r>
        <w:t>Classifier and writer text outputs are parsed by a regex label extractor (_ANALYZER_LABEL_RE + _label_key + _parse_analyzer_output) that pulls only the fixed labelled fields (Risk Type, Risk Description, Scope Area, etc.) in order, ignoring anything extra.</w:t>
      </w:r>
    </w:p>
    <w:p>
      <w:pPr>
        <w:pStyle w:val="ListBullet"/>
      </w:pPr>
      <w:r>
        <w:rPr>
          <w:b/>
        </w:rPr>
        <w:t xml:space="preserve">Enum coercion: </w:t>
      </w:r>
      <w:r>
        <w:t>_normalize_title() coerces free-text risk wording into the canonical RiskType enum, and raw category text is mapped to exactly High/Medium/Low/No Risk — so downstream logic always sees controlled values.</w:t>
      </w:r>
    </w:p>
    <w:p>
      <w:pPr>
        <w:pStyle w:val="ListBullet"/>
      </w:pPr>
      <w:r>
        <w:rPr>
          <w:b/>
        </w:rPr>
        <w:t xml:space="preserve">Echo &amp; empties: </w:t>
      </w:r>
      <w:r>
        <w:t>The output writer detects and drops prompt-echo responses and empty analysis before a row is written, so malformed generations never reach the workbook.</w:t>
      </w:r>
    </w:p>
    <w:p>
      <w:pPr>
        <w:pStyle w:val="Heading1"/>
      </w:pPr>
      <w:r>
        <w:rPr>
          <w:color w:val="1E3A5F"/>
        </w:rPr>
        <w:t>4. Metrics &amp; Thresholds</w:t>
      </w:r>
    </w:p>
    <w:p>
      <w:pPr>
        <w:spacing w:after="120"/>
      </w:pPr>
      <w:r>
        <w:rPr>
          <w:b w:val="0"/>
          <w:i w:val="0"/>
          <w:sz w:val="21"/>
        </w:rPr>
        <w:t>Quantitative controls used for routing decisions, severity, conflict detection, and operational health. Values below reflect the current configuration in src/config/constants.py.</w:t>
      </w:r>
    </w:p>
    <w:p>
      <w:pPr>
        <w:pStyle w:val="Heading2"/>
      </w:pPr>
      <w:r>
        <w:rPr>
          <w:color w:val="1E3A5F"/>
        </w:rPr>
        <w:t>4.1 Confidence &amp; Routing Thresholds</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fill="1E3A5F"/>
          </w:tcPr>
          <w:p>
            <w:r/>
            <w:r>
              <w:rPr>
                <w:b/>
                <w:color w:val="FFFFFF"/>
                <w:sz w:val="19"/>
              </w:rPr>
              <w:t>Metric</w:t>
            </w:r>
          </w:p>
        </w:tc>
        <w:tc>
          <w:tcPr>
            <w:tcW w:type="dxa" w:w="1296"/>
            <w:shd w:val="clear" w:fill="1E3A5F"/>
          </w:tcPr>
          <w:p>
            <w:r/>
            <w:r>
              <w:rPr>
                <w:b/>
                <w:color w:val="FFFFFF"/>
                <w:sz w:val="19"/>
              </w:rPr>
              <w:t>Value</w:t>
            </w:r>
          </w:p>
        </w:tc>
        <w:tc>
          <w:tcPr>
            <w:tcW w:type="dxa" w:w="5328"/>
            <w:shd w:val="clear" w:fill="1E3A5F"/>
          </w:tcPr>
          <w:p>
            <w:r/>
            <w:r>
              <w:rPr>
                <w:b/>
                <w:color w:val="FFFFFF"/>
                <w:sz w:val="19"/>
              </w:rPr>
              <w:t>Purpose / effect</w:t>
            </w:r>
          </w:p>
        </w:tc>
      </w:tr>
      <w:tr>
        <w:tc>
          <w:tcPr>
            <w:tcW w:type="dxa" w:w="3456"/>
          </w:tcPr>
          <w:p>
            <w:r/>
            <w:r>
              <w:rPr>
                <w:sz w:val="18"/>
              </w:rPr>
              <w:t>Scope Confidence — High</w:t>
            </w:r>
          </w:p>
        </w:tc>
        <w:tc>
          <w:tcPr>
            <w:tcW w:type="dxa" w:w="1296"/>
          </w:tcPr>
          <w:p>
            <w:r/>
            <w:r>
              <w:rPr>
                <w:sz w:val="18"/>
              </w:rPr>
              <w:t>0.70</w:t>
            </w:r>
          </w:p>
        </w:tc>
        <w:tc>
          <w:tcPr>
            <w:tcW w:type="dxa" w:w="5328"/>
          </w:tcPr>
          <w:p>
            <w:r/>
            <w:r>
              <w:rPr>
                <w:sz w:val="18"/>
              </w:rPr>
              <w:t>At/above: use identified scope(s) as-is (tight retrieval).</w:t>
            </w:r>
          </w:p>
        </w:tc>
      </w:tr>
      <w:tr>
        <w:tc>
          <w:tcPr>
            <w:tcW w:type="dxa" w:w="3456"/>
          </w:tcPr>
          <w:p>
            <w:r/>
            <w:r>
              <w:rPr>
                <w:sz w:val="18"/>
              </w:rPr>
              <w:t>Scope Confidence — Moderate</w:t>
            </w:r>
          </w:p>
        </w:tc>
        <w:tc>
          <w:tcPr>
            <w:tcW w:type="dxa" w:w="1296"/>
          </w:tcPr>
          <w:p>
            <w:r/>
            <w:r>
              <w:rPr>
                <w:sz w:val="18"/>
              </w:rPr>
              <w:t>0.50</w:t>
            </w:r>
          </w:p>
        </w:tc>
        <w:tc>
          <w:tcPr>
            <w:tcW w:type="dxa" w:w="5328"/>
          </w:tcPr>
          <w:p>
            <w:r/>
            <w:r>
              <w:rPr>
                <w:sz w:val="18"/>
              </w:rPr>
              <w:t>0.50-0.69: use scope(s) incl. additional. Below 0.50: unfiltered (ANY_SCOPE).</w:t>
            </w:r>
          </w:p>
        </w:tc>
      </w:tr>
      <w:tr>
        <w:tc>
          <w:tcPr>
            <w:tcW w:type="dxa" w:w="3456"/>
          </w:tcPr>
          <w:p>
            <w:r/>
            <w:r>
              <w:rPr>
                <w:sz w:val="18"/>
              </w:rPr>
              <w:t>Scope Confidence — Min (ref)</w:t>
            </w:r>
          </w:p>
        </w:tc>
        <w:tc>
          <w:tcPr>
            <w:tcW w:type="dxa" w:w="1296"/>
          </w:tcPr>
          <w:p>
            <w:r/>
            <w:r>
              <w:rPr>
                <w:sz w:val="18"/>
              </w:rPr>
              <w:t>0.60</w:t>
            </w:r>
          </w:p>
        </w:tc>
        <w:tc>
          <w:tcPr>
            <w:tcW w:type="dxa" w:w="5328"/>
          </w:tcPr>
          <w:p>
            <w:r/>
            <w:r>
              <w:rPr>
                <w:sz w:val="18"/>
              </w:rPr>
              <w:t>Legacy minimum reference for scope acceptance.</w:t>
            </w:r>
          </w:p>
        </w:tc>
      </w:tr>
    </w:tbl>
    <w:p>
      <w:pPr>
        <w:pStyle w:val="Heading2"/>
      </w:pPr>
      <w:r>
        <w:rPr>
          <w:color w:val="1E3A5F"/>
        </w:rPr>
        <w:t>4.2 Risk &amp; Conflict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fill="1E3A5F"/>
          </w:tcPr>
          <w:p>
            <w:r/>
            <w:r>
              <w:rPr>
                <w:b/>
                <w:color w:val="FFFFFF"/>
                <w:sz w:val="19"/>
              </w:rPr>
              <w:t>Metric</w:t>
            </w:r>
          </w:p>
        </w:tc>
        <w:tc>
          <w:tcPr>
            <w:tcW w:type="dxa" w:w="1296"/>
            <w:shd w:val="clear" w:fill="1E3A5F"/>
          </w:tcPr>
          <w:p>
            <w:r/>
            <w:r>
              <w:rPr>
                <w:b/>
                <w:color w:val="FFFFFF"/>
                <w:sz w:val="19"/>
              </w:rPr>
              <w:t>Value</w:t>
            </w:r>
          </w:p>
        </w:tc>
        <w:tc>
          <w:tcPr>
            <w:tcW w:type="dxa" w:w="5328"/>
            <w:shd w:val="clear" w:fill="1E3A5F"/>
          </w:tcPr>
          <w:p>
            <w:r/>
            <w:r>
              <w:rPr>
                <w:b/>
                <w:color w:val="FFFFFF"/>
                <w:sz w:val="19"/>
              </w:rPr>
              <w:t>Purpose / effect</w:t>
            </w:r>
          </w:p>
        </w:tc>
      </w:tr>
      <w:tr>
        <w:tc>
          <w:tcPr>
            <w:tcW w:type="dxa" w:w="3456"/>
          </w:tcPr>
          <w:p>
            <w:r/>
            <w:r>
              <w:rPr>
                <w:sz w:val="18"/>
              </w:rPr>
              <w:t>Risk Score band</w:t>
            </w:r>
          </w:p>
        </w:tc>
        <w:tc>
          <w:tcPr>
            <w:tcW w:type="dxa" w:w="1296"/>
          </w:tcPr>
          <w:p>
            <w:r/>
            <w:r>
              <w:rPr>
                <w:sz w:val="18"/>
              </w:rPr>
              <w:t>1-10</w:t>
            </w:r>
          </w:p>
        </w:tc>
        <w:tc>
          <w:tcPr>
            <w:tcW w:type="dxa" w:w="5328"/>
          </w:tcPr>
          <w:p>
            <w:r/>
            <w:r>
              <w:rPr>
                <w:sz w:val="18"/>
              </w:rPr>
              <w:t>Internal severity score; mapped to High/Medium/Low/No Risk categories.</w:t>
            </w:r>
          </w:p>
        </w:tc>
      </w:tr>
      <w:tr>
        <w:tc>
          <w:tcPr>
            <w:tcW w:type="dxa" w:w="3456"/>
          </w:tcPr>
          <w:p>
            <w:r/>
            <w:r>
              <w:rPr>
                <w:sz w:val="18"/>
              </w:rPr>
              <w:t>Conflict Similarity Threshold</w:t>
            </w:r>
          </w:p>
        </w:tc>
        <w:tc>
          <w:tcPr>
            <w:tcW w:type="dxa" w:w="1296"/>
          </w:tcPr>
          <w:p>
            <w:r/>
            <w:r>
              <w:rPr>
                <w:sz w:val="18"/>
              </w:rPr>
              <w:t>0.90</w:t>
            </w:r>
          </w:p>
        </w:tc>
        <w:tc>
          <w:tcPr>
            <w:tcW w:type="dxa" w:w="5328"/>
          </w:tcPr>
          <w:p>
            <w:r/>
            <w:r>
              <w:rPr>
                <w:sz w:val="18"/>
              </w:rPr>
              <w:t>Cross-question response pairs above this cosine similarity are flagged as conflicts.</w:t>
            </w:r>
          </w:p>
        </w:tc>
      </w:tr>
      <w:tr>
        <w:tc>
          <w:tcPr>
            <w:tcW w:type="dxa" w:w="3456"/>
          </w:tcPr>
          <w:p>
            <w:r/>
            <w:r>
              <w:rPr>
                <w:sz w:val="18"/>
              </w:rPr>
              <w:t>Conflict severity — High</w:t>
            </w:r>
          </w:p>
        </w:tc>
        <w:tc>
          <w:tcPr>
            <w:tcW w:type="dxa" w:w="1296"/>
          </w:tcPr>
          <w:p>
            <w:r/>
            <w:r>
              <w:rPr>
                <w:sz w:val="18"/>
              </w:rPr>
              <w:t>&gt;= 0.97</w:t>
            </w:r>
          </w:p>
        </w:tc>
        <w:tc>
          <w:tcPr>
            <w:tcW w:type="dxa" w:w="5328"/>
          </w:tcPr>
          <w:p>
            <w:r/>
            <w:r>
              <w:rPr>
                <w:sz w:val="18"/>
              </w:rPr>
              <w:t>Near-identical responses flagged high severity.</w:t>
            </w:r>
          </w:p>
        </w:tc>
      </w:tr>
      <w:tr>
        <w:tc>
          <w:tcPr>
            <w:tcW w:type="dxa" w:w="3456"/>
          </w:tcPr>
          <w:p>
            <w:r/>
            <w:r>
              <w:rPr>
                <w:sz w:val="18"/>
              </w:rPr>
              <w:t>Conflict severity — Medium</w:t>
            </w:r>
          </w:p>
        </w:tc>
        <w:tc>
          <w:tcPr>
            <w:tcW w:type="dxa" w:w="1296"/>
          </w:tcPr>
          <w:p>
            <w:r/>
            <w:r>
              <w:rPr>
                <w:sz w:val="18"/>
              </w:rPr>
              <w:t>&gt;= 0.93</w:t>
            </w:r>
          </w:p>
        </w:tc>
        <w:tc>
          <w:tcPr>
            <w:tcW w:type="dxa" w:w="5328"/>
          </w:tcPr>
          <w:p>
            <w:r/>
            <w:r>
              <w:rPr>
                <w:sz w:val="18"/>
              </w:rPr>
              <w:t>Strongly similar responses flagged medium severity.</w:t>
            </w:r>
          </w:p>
        </w:tc>
      </w:tr>
      <w:tr>
        <w:tc>
          <w:tcPr>
            <w:tcW w:type="dxa" w:w="3456"/>
          </w:tcPr>
          <w:p>
            <w:r/>
            <w:r>
              <w:rPr>
                <w:sz w:val="18"/>
              </w:rPr>
              <w:t>Sales Concentration Threshold</w:t>
            </w:r>
          </w:p>
        </w:tc>
        <w:tc>
          <w:tcPr>
            <w:tcW w:type="dxa" w:w="1296"/>
          </w:tcPr>
          <w:p>
            <w:r/>
            <w:r>
              <w:rPr>
                <w:sz w:val="18"/>
              </w:rPr>
              <w:t>0.50</w:t>
            </w:r>
          </w:p>
        </w:tc>
        <w:tc>
          <w:tcPr>
            <w:tcW w:type="dxa" w:w="5328"/>
          </w:tcPr>
          <w:p>
            <w:r/>
            <w:r>
              <w:rPr>
                <w:sz w:val="18"/>
              </w:rPr>
              <w:t>Concentration flag used in transactional heuristics.</w:t>
            </w:r>
          </w:p>
        </w:tc>
      </w:tr>
    </w:tbl>
    <w:p>
      <w:pPr>
        <w:pStyle w:val="Heading2"/>
      </w:pPr>
      <w:r>
        <w:rPr>
          <w:color w:val="1E3A5F"/>
        </w:rPr>
        <w:t>4.3 Sampling &amp; Operational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fill="1E3A5F"/>
          </w:tcPr>
          <w:p>
            <w:r/>
            <w:r>
              <w:rPr>
                <w:b/>
                <w:color w:val="FFFFFF"/>
                <w:sz w:val="19"/>
              </w:rPr>
              <w:t>Metric</w:t>
            </w:r>
          </w:p>
        </w:tc>
        <w:tc>
          <w:tcPr>
            <w:tcW w:type="dxa" w:w="1296"/>
            <w:shd w:val="clear" w:fill="1E3A5F"/>
          </w:tcPr>
          <w:p>
            <w:r/>
            <w:r>
              <w:rPr>
                <w:b/>
                <w:color w:val="FFFFFF"/>
                <w:sz w:val="19"/>
              </w:rPr>
              <w:t>Value</w:t>
            </w:r>
          </w:p>
        </w:tc>
        <w:tc>
          <w:tcPr>
            <w:tcW w:type="dxa" w:w="5328"/>
            <w:shd w:val="clear" w:fill="1E3A5F"/>
          </w:tcPr>
          <w:p>
            <w:r/>
            <w:r>
              <w:rPr>
                <w:b/>
                <w:color w:val="FFFFFF"/>
                <w:sz w:val="19"/>
              </w:rPr>
              <w:t>Purpose / effect</w:t>
            </w:r>
          </w:p>
        </w:tc>
      </w:tr>
      <w:tr>
        <w:tc>
          <w:tcPr>
            <w:tcW w:type="dxa" w:w="3456"/>
          </w:tcPr>
          <w:p>
            <w:r/>
            <w:r>
              <w:rPr>
                <w:sz w:val="18"/>
              </w:rPr>
              <w:t>Sample size formula</w:t>
            </w:r>
          </w:p>
        </w:tc>
        <w:tc>
          <w:tcPr>
            <w:tcW w:type="dxa" w:w="1296"/>
          </w:tcPr>
          <w:p>
            <w:r/>
            <w:r>
              <w:rPr>
                <w:sz w:val="18"/>
              </w:rPr>
              <w:t>col K + 5</w:t>
            </w:r>
          </w:p>
        </w:tc>
        <w:tc>
          <w:tcPr>
            <w:tcW w:type="dxa" w:w="5328"/>
          </w:tcPr>
          <w:p>
            <w:r/>
            <w:r>
              <w:rPr>
                <w:sz w:val="18"/>
              </w:rPr>
              <w:t>Rows pulled per identified risk = Expected Sample Size (CPR) + 5 buffer.</w:t>
            </w:r>
          </w:p>
        </w:tc>
      </w:tr>
      <w:tr>
        <w:tc>
          <w:tcPr>
            <w:tcW w:type="dxa" w:w="3456"/>
          </w:tcPr>
          <w:p>
            <w:r/>
            <w:r>
              <w:rPr>
                <w:sz w:val="18"/>
              </w:rPr>
              <w:t>Default sample size</w:t>
            </w:r>
          </w:p>
        </w:tc>
        <w:tc>
          <w:tcPr>
            <w:tcW w:type="dxa" w:w="1296"/>
          </w:tcPr>
          <w:p>
            <w:r/>
            <w:r>
              <w:rPr>
                <w:sz w:val="18"/>
              </w:rPr>
              <w:t>7</w:t>
            </w:r>
          </w:p>
        </w:tc>
        <w:tc>
          <w:tcPr>
            <w:tcW w:type="dxa" w:w="5328"/>
          </w:tcPr>
          <w:p>
            <w:r/>
            <w:r>
              <w:rPr>
                <w:sz w:val="18"/>
              </w:rPr>
              <w:t>Fallback when Expected Sample Size is non-numeric/blank (=&gt; 12 with buffer).</w:t>
            </w:r>
          </w:p>
        </w:tc>
      </w:tr>
      <w:tr>
        <w:tc>
          <w:tcPr>
            <w:tcW w:type="dxa" w:w="3456"/>
          </w:tcPr>
          <w:p>
            <w:r/>
            <w:r>
              <w:rPr>
                <w:sz w:val="18"/>
              </w:rPr>
              <w:t>Calculation query cap</w:t>
            </w:r>
          </w:p>
        </w:tc>
        <w:tc>
          <w:tcPr>
            <w:tcW w:type="dxa" w:w="1296"/>
          </w:tcPr>
          <w:p>
            <w:r/>
            <w:r>
              <w:rPr>
                <w:sz w:val="18"/>
              </w:rPr>
              <w:t>25 rows</w:t>
            </w:r>
          </w:p>
        </w:tc>
        <w:tc>
          <w:tcPr>
            <w:tcW w:type="dxa" w:w="5328"/>
          </w:tcPr>
          <w:p>
            <w:r/>
            <w:r>
              <w:rPr>
                <w:sz w:val="18"/>
              </w:rPr>
              <w:t>Hard cap on scope Data-Calculation result sets.</w:t>
            </w:r>
          </w:p>
        </w:tc>
      </w:tr>
      <w:tr>
        <w:tc>
          <w:tcPr>
            <w:tcW w:type="dxa" w:w="3456"/>
          </w:tcPr>
          <w:p>
            <w:r/>
            <w:r>
              <w:rPr>
                <w:sz w:val="18"/>
              </w:rPr>
              <w:t>Question concurrency</w:t>
            </w:r>
          </w:p>
        </w:tc>
        <w:tc>
          <w:tcPr>
            <w:tcW w:type="dxa" w:w="1296"/>
          </w:tcPr>
          <w:p>
            <w:r/>
            <w:r>
              <w:rPr>
                <w:sz w:val="18"/>
              </w:rPr>
              <w:t>5</w:t>
            </w:r>
          </w:p>
        </w:tc>
        <w:tc>
          <w:tcPr>
            <w:tcW w:type="dxa" w:w="5328"/>
          </w:tcPr>
          <w:p>
            <w:r/>
            <w:r>
              <w:rPr>
                <w:sz w:val="18"/>
              </w:rPr>
              <w:t>Parallel questionnaire questions processed by the supervisor.</w:t>
            </w:r>
          </w:p>
        </w:tc>
      </w:tr>
      <w:tr>
        <w:tc>
          <w:tcPr>
            <w:tcW w:type="dxa" w:w="3456"/>
          </w:tcPr>
          <w:p>
            <w:r/>
            <w:r>
              <w:rPr>
                <w:sz w:val="18"/>
              </w:rPr>
              <w:t>Scope analysis workers</w:t>
            </w:r>
          </w:p>
        </w:tc>
        <w:tc>
          <w:tcPr>
            <w:tcW w:type="dxa" w:w="1296"/>
          </w:tcPr>
          <w:p>
            <w:r/>
            <w:r>
              <w:rPr>
                <w:sz w:val="18"/>
              </w:rPr>
              <w:t>6</w:t>
            </w:r>
          </w:p>
        </w:tc>
        <w:tc>
          <w:tcPr>
            <w:tcW w:type="dxa" w:w="5328"/>
          </w:tcPr>
          <w:p>
            <w:r/>
            <w:r>
              <w:rPr>
                <w:sz w:val="18"/>
              </w:rPr>
              <w:t>Concurrent scopes analysed in Phase 3 (thread pool).</w:t>
            </w:r>
          </w:p>
        </w:tc>
      </w:tr>
      <w:tr>
        <w:tc>
          <w:tcPr>
            <w:tcW w:type="dxa" w:w="3456"/>
          </w:tcPr>
          <w:p>
            <w:r/>
            <w:r>
              <w:rPr>
                <w:sz w:val="18"/>
              </w:rPr>
              <w:t>Max transactional retries</w:t>
            </w:r>
          </w:p>
        </w:tc>
        <w:tc>
          <w:tcPr>
            <w:tcW w:type="dxa" w:w="1296"/>
          </w:tcPr>
          <w:p>
            <w:r/>
            <w:r>
              <w:rPr>
                <w:sz w:val="18"/>
              </w:rPr>
              <w:t>3</w:t>
            </w:r>
          </w:p>
        </w:tc>
        <w:tc>
          <w:tcPr>
            <w:tcW w:type="dxa" w:w="5328"/>
          </w:tcPr>
          <w:p>
            <w:r/>
            <w:r>
              <w:rPr>
                <w:sz w:val="18"/>
              </w:rPr>
              <w:t>Retry budget for the transactional agent before treating as No Risk.</w:t>
            </w:r>
          </w:p>
        </w:tc>
      </w:tr>
      <w:tr>
        <w:tc>
          <w:tcPr>
            <w:tcW w:type="dxa" w:w="3456"/>
          </w:tcPr>
          <w:p>
            <w:r/>
            <w:r>
              <w:rPr>
                <w:sz w:val="18"/>
              </w:rPr>
              <w:t>PDF min text chars</w:t>
            </w:r>
          </w:p>
        </w:tc>
        <w:tc>
          <w:tcPr>
            <w:tcW w:type="dxa" w:w="1296"/>
          </w:tcPr>
          <w:p>
            <w:r/>
            <w:r>
              <w:rPr>
                <w:sz w:val="18"/>
              </w:rPr>
              <w:t>20</w:t>
            </w:r>
          </w:p>
        </w:tc>
        <w:tc>
          <w:tcPr>
            <w:tcW w:type="dxa" w:w="5328"/>
          </w:tcPr>
          <w:p>
            <w:r/>
            <w:r>
              <w:rPr>
                <w:sz w:val="18"/>
              </w:rPr>
              <w:t>Below this, a page is OCR'd instead of treated as text.</w:t>
            </w:r>
          </w:p>
        </w:tc>
      </w:tr>
    </w:tbl>
    <w:p>
      <w:pPr>
        <w:pStyle w:val="Heading1"/>
      </w:pPr>
      <w:r>
        <w:rPr>
          <w:color w:val="1E3A5F"/>
        </w:rPr>
        <w:t>5. Defence-in-Depth Summary</w:t>
      </w:r>
    </w:p>
    <w:p>
      <w:pPr>
        <w:spacing w:after="120"/>
      </w:pPr>
      <w:r>
        <w:rPr>
          <w:b w:val="0"/>
          <w:i w:val="0"/>
          <w:sz w:val="21"/>
        </w:rPr>
        <w:t>The three layers reinforce one another: guardrails constrain what the model is allowed to say, validators reject anything malformed the model still produced, and metrics decide when a path is confident enough to act on. A failure or bypass in any single layer is contained by the others.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1E3A5F"/>
          </w:tcPr>
          <w:p>
            <w:r/>
            <w:r>
              <w:rPr>
                <w:b/>
                <w:color w:val="FFFFFF"/>
                <w:sz w:val="19"/>
              </w:rPr>
              <w:t>Layer</w:t>
            </w:r>
          </w:p>
        </w:tc>
        <w:tc>
          <w:tcPr>
            <w:tcW w:type="dxa" w:w="3168"/>
            <w:shd w:val="clear" w:fill="1E3A5F"/>
          </w:tcPr>
          <w:p>
            <w:r/>
            <w:r>
              <w:rPr>
                <w:b/>
                <w:color w:val="FFFFFF"/>
                <w:sz w:val="19"/>
              </w:rPr>
              <w:t>Line of defence</w:t>
            </w:r>
          </w:p>
        </w:tc>
        <w:tc>
          <w:tcPr>
            <w:tcW w:type="dxa" w:w="5040"/>
            <w:shd w:val="clear" w:fill="1E3A5F"/>
          </w:tcPr>
          <w:p>
            <w:r/>
            <w:r>
              <w:rPr>
                <w:b/>
                <w:color w:val="FFFFFF"/>
                <w:sz w:val="19"/>
              </w:rPr>
              <w:t>Representative controls</w:t>
            </w:r>
          </w:p>
        </w:tc>
      </w:tr>
      <w:tr>
        <w:tc>
          <w:tcPr>
            <w:tcW w:type="dxa" w:w="1872"/>
          </w:tcPr>
          <w:p>
            <w:r/>
            <w:r>
              <w:rPr>
                <w:sz w:val="18"/>
              </w:rPr>
              <w:t>1. Guardrails</w:t>
            </w:r>
          </w:p>
        </w:tc>
        <w:tc>
          <w:tcPr>
            <w:tcW w:type="dxa" w:w="3168"/>
          </w:tcPr>
          <w:p>
            <w:r/>
            <w:r>
              <w:rPr>
                <w:sz w:val="18"/>
              </w:rPr>
              <w:t>Prevent unsafe generation</w:t>
            </w:r>
          </w:p>
        </w:tc>
        <w:tc>
          <w:tcPr>
            <w:tcW w:type="dxa" w:w="5040"/>
          </w:tcPr>
          <w:p>
            <w:r/>
            <w:r>
              <w:rPr>
                <w:sz w:val="18"/>
              </w:rPr>
              <w:t>UNIVERSAL G1-G6; role blocks G7-G10; read-only SQL; N/A-&gt;No Risk; evidence-gated severity.</w:t>
            </w:r>
          </w:p>
        </w:tc>
      </w:tr>
      <w:tr>
        <w:tc>
          <w:tcPr>
            <w:tcW w:type="dxa" w:w="1872"/>
          </w:tcPr>
          <w:p>
            <w:r/>
            <w:r>
              <w:rPr>
                <w:sz w:val="18"/>
              </w:rPr>
              <w:t>2. Validators</w:t>
            </w:r>
          </w:p>
        </w:tc>
        <w:tc>
          <w:tcPr>
            <w:tcW w:type="dxa" w:w="3168"/>
          </w:tcPr>
          <w:p>
            <w:r/>
            <w:r>
              <w:rPr>
                <w:sz w:val="18"/>
              </w:rPr>
              <w:t>Reject malformed / unsafe data</w:t>
            </w:r>
          </w:p>
        </w:tc>
        <w:tc>
          <w:tcPr>
            <w:tcW w:type="dxa" w:w="5040"/>
          </w:tcPr>
          <w:p>
            <w:r/>
            <w:r>
              <w:rPr>
                <w:sz w:val="18"/>
              </w:rPr>
              <w:t>Pydantic field &amp; model validators; typed schemas &amp; enums; vector-index &amp; table schema grounding; structured-output JSON/label parsing with enum coercion; try_cast; LIMIT enforcement; echo detection.</w:t>
            </w:r>
          </w:p>
        </w:tc>
      </w:tr>
      <w:tr>
        <w:tc>
          <w:tcPr>
            <w:tcW w:type="dxa" w:w="1872"/>
          </w:tcPr>
          <w:p>
            <w:r/>
            <w:r>
              <w:rPr>
                <w:sz w:val="18"/>
              </w:rPr>
              <w:t>3. Metrics</w:t>
            </w:r>
          </w:p>
        </w:tc>
        <w:tc>
          <w:tcPr>
            <w:tcW w:type="dxa" w:w="3168"/>
          </w:tcPr>
          <w:p>
            <w:r/>
            <w:r>
              <w:rPr>
                <w:sz w:val="18"/>
              </w:rPr>
              <w:t>Quantify confidence &amp; health</w:t>
            </w:r>
          </w:p>
        </w:tc>
        <w:tc>
          <w:tcPr>
            <w:tcW w:type="dxa" w:w="5040"/>
          </w:tcPr>
          <w:p>
            <w:r/>
            <w:r>
              <w:rPr>
                <w:sz w:val="18"/>
              </w:rPr>
              <w:t>Confidence tiers; conflict similarity 0.90; risk 1-10; sample sizing; concurrency &amp; retry budgets.</w:t>
            </w:r>
          </w:p>
        </w:tc>
      </w:tr>
    </w:tbl>
    <w:p/>
    <w:p>
      <w:pPr>
        <w:jc w:val="center"/>
      </w:pPr>
      <w:r>
        <w:rPr>
          <w:color w:val="555555"/>
          <w:sz w:val="16"/>
        </w:rPr>
        <w:t>Johnson &amp; Johnson — Global Audit &amp; Assurance  |  Confidential —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