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E3A5F"/>
          <w:sz w:val="52"/>
        </w:rPr>
        <w:t>Business Requirements Document</w:t>
      </w:r>
    </w:p>
    <w:p>
      <w:pPr>
        <w:jc w:val="center"/>
      </w:pPr>
      <w:r>
        <w:rPr>
          <w:color w:val="2E5F9E"/>
          <w:sz w:val="30"/>
        </w:rPr>
        <w:t>Enterprise AI Audit Recommendation Engine</w:t>
      </w:r>
    </w:p>
    <w:p/>
    <w:p/>
    <w:p>
      <w:pPr>
        <w:jc w:val="center"/>
      </w:pPr>
      <w:r>
        <w:rPr>
          <w:b/>
          <w:color w:val="1E3A5F"/>
          <w:sz w:val="20"/>
        </w:rPr>
        <w:t xml:space="preserve">Prepared for:  </w:t>
      </w:r>
      <w:r>
        <w:rPr>
          <w:color w:val="1A1A2E"/>
          <w:sz w:val="20"/>
        </w:rPr>
        <w:t>Johnson &amp; Johnson (J&amp;J) Enterprise</w:t>
      </w:r>
    </w:p>
    <w:p>
      <w:pPr>
        <w:jc w:val="center"/>
      </w:pPr>
      <w:r>
        <w:rPr>
          <w:b/>
          <w:color w:val="1E3A5F"/>
          <w:sz w:val="20"/>
        </w:rPr>
        <w:t xml:space="preserve">Prepared by:  </w:t>
      </w:r>
      <w:r>
        <w:rPr>
          <w:color w:val="1A1A2E"/>
          <w:sz w:val="20"/>
        </w:rPr>
        <w:t>EXL Service</w:t>
      </w:r>
    </w:p>
    <w:p>
      <w:pPr>
        <w:jc w:val="center"/>
      </w:pPr>
      <w:r>
        <w:rPr>
          <w:b/>
          <w:color w:val="1E3A5F"/>
          <w:sz w:val="20"/>
        </w:rPr>
        <w:t xml:space="preserve">Version:  </w:t>
      </w:r>
      <w:r>
        <w:rPr>
          <w:color w:val="1A1A2E"/>
          <w:sz w:val="20"/>
        </w:rPr>
        <w:t>1.0  —  Draft for Review</w:t>
      </w:r>
    </w:p>
    <w:p>
      <w:pPr>
        <w:jc w:val="center"/>
      </w:pPr>
      <w:r>
        <w:rPr>
          <w:b/>
          <w:color w:val="1E3A5F"/>
          <w:sz w:val="20"/>
        </w:rPr>
        <w:t xml:space="preserve">Date:  </w:t>
      </w:r>
      <w:r>
        <w:rPr>
          <w:color w:val="1A1A2E"/>
          <w:sz w:val="20"/>
        </w:rPr>
        <w:t>August 13, 2026</w:t>
      </w:r>
    </w:p>
    <w:p>
      <w:pPr>
        <w:jc w:val="center"/>
      </w:pPr>
      <w:r>
        <w:rPr>
          <w:b/>
          <w:color w:val="1E3A5F"/>
          <w:sz w:val="20"/>
        </w:rPr>
        <w:t xml:space="preserve">Status:  </w:t>
      </w:r>
      <w:r>
        <w:rPr>
          <w:color w:val="1A1A2E"/>
          <w:sz w:val="20"/>
        </w:rPr>
        <w:t>Proposed</w:t>
      </w:r>
    </w:p>
    <w:p>
      <w:r>
        <w:br w:type="page"/>
      </w:r>
    </w:p>
    <w:p>
      <w:pPr>
        <w:spacing w:before="360" w:after="100"/>
        <w:pBdr>
          <w:bottom w:val="single" w:sz="6" w:space="1" w:color="4A90D9"/>
        </w:pBdr>
      </w:pPr>
      <w:r>
        <w:rPr>
          <w:b/>
          <w:color w:val="1E3A5F"/>
          <w:sz w:val="28"/>
        </w:rPr>
        <w:t>1. Document Information</w:t>
      </w:r>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1E3A5F"/>
            <w:tcBorders>
              <w:top w:val="single" w:sz="4" w:space="0" w:color="4A90D9"/>
              <w:left w:val="single" w:sz="4" w:space="0" w:color="4A90D9"/>
              <w:bottom w:val="single" w:sz="4" w:space="0" w:color="4A90D9"/>
              <w:right w:val="single" w:sz="4" w:space="0" w:color="4A90D9"/>
            </w:tcBorders>
            <w:vAlign w:val="center"/>
          </w:tcPr>
          <w:p>
            <w:r>
              <w:rPr>
                <w:b/>
                <w:color w:val="FFFFFF"/>
                <w:sz w:val="18"/>
              </w:rPr>
              <w:t>Field</w:t>
            </w:r>
          </w:p>
        </w:tc>
        <w:tc>
          <w:tcPr>
            <w:tcW w:type="dxa" w:w="8352"/>
            <w:shd w:val="clear" w:color="auto" w:fill="1E3A5F"/>
            <w:tcBorders>
              <w:top w:val="single" w:sz="4" w:space="0" w:color="4A90D9"/>
              <w:left w:val="single" w:sz="4" w:space="0" w:color="4A90D9"/>
              <w:bottom w:val="single" w:sz="4" w:space="0" w:color="4A90D9"/>
              <w:right w:val="single" w:sz="4" w:space="0" w:color="4A90D9"/>
            </w:tcBorders>
            <w:vAlign w:val="center"/>
          </w:tcPr>
          <w:p>
            <w:r>
              <w:rPr>
                <w:b/>
                <w:color w:val="FFFFFF"/>
                <w:sz w:val="18"/>
              </w:rPr>
              <w:t>Details</w:t>
            </w:r>
          </w:p>
        </w:tc>
      </w:tr>
      <w:tr>
        <w:tc>
          <w:tcPr>
            <w:tcW w:type="dxa" w:w="3168"/>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Project Name</w:t>
            </w:r>
          </w:p>
        </w:tc>
        <w:tc>
          <w:tcPr>
            <w:tcW w:type="dxa" w:w="8352"/>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Enterprise AI Audit Recommendation Engine</w:t>
            </w:r>
          </w:p>
        </w:tc>
      </w:tr>
      <w:tr>
        <w:tc>
          <w:tcPr>
            <w:tcW w:type="dxa" w:w="3168"/>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Client</w:t>
            </w:r>
          </w:p>
        </w:tc>
        <w:tc>
          <w:tcPr>
            <w:tcW w:type="dxa" w:w="8352"/>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Johnson &amp; Johnson (J&amp;J) Enterprise</w:t>
            </w:r>
          </w:p>
        </w:tc>
      </w:tr>
      <w:tr>
        <w:tc>
          <w:tcPr>
            <w:tcW w:type="dxa" w:w="3168"/>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Document Type</w:t>
            </w:r>
          </w:p>
        </w:tc>
        <w:tc>
          <w:tcPr>
            <w:tcW w:type="dxa" w:w="8352"/>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Business Requirements Document (BRD)</w:t>
            </w:r>
          </w:p>
        </w:tc>
      </w:tr>
      <w:tr>
        <w:tc>
          <w:tcPr>
            <w:tcW w:type="dxa" w:w="3168"/>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Version</w:t>
            </w:r>
          </w:p>
        </w:tc>
        <w:tc>
          <w:tcPr>
            <w:tcW w:type="dxa" w:w="8352"/>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1.0 — Draft</w:t>
            </w:r>
          </w:p>
        </w:tc>
      </w:tr>
      <w:tr>
        <w:tc>
          <w:tcPr>
            <w:tcW w:type="dxa" w:w="3168"/>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Date</w:t>
            </w:r>
          </w:p>
        </w:tc>
        <w:tc>
          <w:tcPr>
            <w:tcW w:type="dxa" w:w="8352"/>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August 13, 2026</w:t>
            </w:r>
          </w:p>
        </w:tc>
      </w:tr>
      <w:tr>
        <w:tc>
          <w:tcPr>
            <w:tcW w:type="dxa" w:w="3168"/>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Prepared By</w:t>
            </w:r>
          </w:p>
        </w:tc>
        <w:tc>
          <w:tcPr>
            <w:tcW w:type="dxa" w:w="8352"/>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EXL Service</w:t>
            </w:r>
          </w:p>
        </w:tc>
      </w:tr>
      <w:tr>
        <w:tc>
          <w:tcPr>
            <w:tcW w:type="dxa" w:w="3168"/>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Document Status</w:t>
            </w:r>
          </w:p>
        </w:tc>
        <w:tc>
          <w:tcPr>
            <w:tcW w:type="dxa" w:w="8352"/>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Proposed — Pending Stakeholder Review</w:t>
            </w:r>
          </w:p>
        </w:tc>
      </w:tr>
    </w:tbl>
    <w:p/>
    <w:p>
      <w:pPr>
        <w:spacing w:before="360" w:after="100"/>
        <w:pBdr>
          <w:bottom w:val="single" w:sz="6" w:space="1" w:color="4A90D9"/>
        </w:pBdr>
      </w:pPr>
      <w:r>
        <w:rPr>
          <w:b/>
          <w:color w:val="1E3A5F"/>
          <w:sz w:val="28"/>
        </w:rPr>
        <w:t>2. Business Objective</w:t>
      </w:r>
    </w:p>
    <w:p>
      <w:pPr>
        <w:spacing w:before="40" w:after="80"/>
      </w:pPr>
      <w:r>
        <w:rPr>
          <w:b w:val="0"/>
          <w:i w:val="0"/>
          <w:color w:val="1A1A2E"/>
          <w:sz w:val="20"/>
        </w:rPr>
        <w:t>The Enterprise AI Audit Recommendation Engine is designed to automate the initial review pass of Third Party Intermediary (TPI) compliance audits for Johnson &amp; Johnson. The system processes questionnaire responses from TPI entities and JNJ Management, validates them against global and local compliance policies, and produces structured risk findings mapped to 48 audit scope areas. The objective is to reduce manual auditor effort, increase consistency of risk identification, and accelerate the audit cycle.</w:t>
      </w:r>
    </w:p>
    <w:p>
      <w:pPr>
        <w:spacing w:before="360" w:after="100"/>
        <w:pBdr>
          <w:bottom w:val="single" w:sz="6" w:space="1" w:color="4A90D9"/>
        </w:pBdr>
      </w:pPr>
      <w:r>
        <w:rPr>
          <w:b/>
          <w:color w:val="1E3A5F"/>
          <w:sz w:val="28"/>
        </w:rPr>
        <w:t>3. Target Users &amp; Stakeholders</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1E3A5F"/>
            <w:tcBorders>
              <w:top w:val="single" w:sz="4" w:space="0" w:color="4A90D9"/>
              <w:left w:val="single" w:sz="4" w:space="0" w:color="4A90D9"/>
              <w:bottom w:val="single" w:sz="4" w:space="0" w:color="4A90D9"/>
              <w:right w:val="single" w:sz="4" w:space="0" w:color="4A90D9"/>
            </w:tcBorders>
            <w:vAlign w:val="center"/>
          </w:tcPr>
          <w:p>
            <w:r>
              <w:rPr>
                <w:b/>
                <w:color w:val="FFFFFF"/>
                <w:sz w:val="18"/>
              </w:rPr>
              <w:t>Role</w:t>
            </w:r>
          </w:p>
        </w:tc>
        <w:tc>
          <w:tcPr>
            <w:tcW w:type="dxa" w:w="3168"/>
            <w:shd w:val="clear" w:color="auto" w:fill="1E3A5F"/>
            <w:tcBorders>
              <w:top w:val="single" w:sz="4" w:space="0" w:color="4A90D9"/>
              <w:left w:val="single" w:sz="4" w:space="0" w:color="4A90D9"/>
              <w:bottom w:val="single" w:sz="4" w:space="0" w:color="4A90D9"/>
              <w:right w:val="single" w:sz="4" w:space="0" w:color="4A90D9"/>
            </w:tcBorders>
            <w:vAlign w:val="center"/>
          </w:tcPr>
          <w:p>
            <w:r>
              <w:rPr>
                <w:b/>
                <w:color w:val="FFFFFF"/>
                <w:sz w:val="18"/>
              </w:rPr>
              <w:t>Organization</w:t>
            </w:r>
          </w:p>
        </w:tc>
        <w:tc>
          <w:tcPr>
            <w:tcW w:type="dxa" w:w="5472"/>
            <w:shd w:val="clear" w:color="auto" w:fill="1E3A5F"/>
            <w:tcBorders>
              <w:top w:val="single" w:sz="4" w:space="0" w:color="4A90D9"/>
              <w:left w:val="single" w:sz="4" w:space="0" w:color="4A90D9"/>
              <w:bottom w:val="single" w:sz="4" w:space="0" w:color="4A90D9"/>
              <w:right w:val="single" w:sz="4" w:space="0" w:color="4A90D9"/>
            </w:tcBorders>
            <w:vAlign w:val="center"/>
          </w:tcPr>
          <w:p>
            <w:r>
              <w:rPr>
                <w:b/>
                <w:color w:val="FFFFFF"/>
                <w:sz w:val="18"/>
              </w:rPr>
              <w:t>Involvement</w:t>
            </w:r>
          </w:p>
        </w:tc>
      </w:tr>
      <w:tr>
        <w:tc>
          <w:tcPr>
            <w:tcW w:type="dxa" w:w="2880"/>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Primary User</w:t>
            </w:r>
          </w:p>
        </w:tc>
        <w:tc>
          <w:tcPr>
            <w:tcW w:type="dxa" w:w="3168"/>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J&amp;J Enterprise — Audit Team</w:t>
            </w:r>
          </w:p>
        </w:tc>
        <w:tc>
          <w:tcPr>
            <w:tcW w:type="dxa" w:w="5472"/>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Consume AI-generated risk findings and recommendations</w:t>
            </w:r>
          </w:p>
        </w:tc>
      </w:tr>
      <w:tr>
        <w:tc>
          <w:tcPr>
            <w:tcW w:type="dxa" w:w="2880"/>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Data Engineering Team</w:t>
            </w:r>
          </w:p>
        </w:tc>
        <w:tc>
          <w:tcPr>
            <w:tcW w:type="dxa" w:w="3168"/>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J&amp;J / Databricks</w:t>
            </w:r>
          </w:p>
        </w:tc>
        <w:tc>
          <w:tcPr>
            <w:tcW w:type="dxa" w:w="5472"/>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Provide and maintain data availability on Databricks</w:t>
            </w:r>
          </w:p>
        </w:tc>
      </w:tr>
      <w:tr>
        <w:tc>
          <w:tcPr>
            <w:tcW w:type="dxa" w:w="2880"/>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Output Layout Owner</w:t>
            </w:r>
          </w:p>
        </w:tc>
        <w:tc>
          <w:tcPr>
            <w:tcW w:type="dxa" w:w="3168"/>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Ishita</w:t>
            </w:r>
          </w:p>
        </w:tc>
        <w:tc>
          <w:tcPr>
            <w:tcW w:type="dxa" w:w="5472"/>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Define output column structure and prerequisites</w:t>
            </w:r>
          </w:p>
        </w:tc>
      </w:tr>
      <w:tr>
        <w:tc>
          <w:tcPr>
            <w:tcW w:type="dxa" w:w="2880"/>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Power Apps Team</w:t>
            </w:r>
          </w:p>
        </w:tc>
        <w:tc>
          <w:tcPr>
            <w:tcW w:type="dxa" w:w="3168"/>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J&amp;J Enterprise</w:t>
            </w:r>
          </w:p>
        </w:tc>
        <w:tc>
          <w:tcPr>
            <w:tcW w:type="dxa" w:w="5472"/>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Integrate output for reporting/UI layer</w:t>
            </w:r>
          </w:p>
        </w:tc>
      </w:tr>
      <w:tr>
        <w:tc>
          <w:tcPr>
            <w:tcW w:type="dxa" w:w="2880"/>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Development Team</w:t>
            </w:r>
          </w:p>
        </w:tc>
        <w:tc>
          <w:tcPr>
            <w:tcW w:type="dxa" w:w="3168"/>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EXL Service</w:t>
            </w:r>
          </w:p>
        </w:tc>
        <w:tc>
          <w:tcPr>
            <w:tcW w:type="dxa" w:w="5472"/>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Design, build, and maintain the AI engine</w:t>
            </w:r>
          </w:p>
        </w:tc>
      </w:tr>
    </w:tbl>
    <w:p/>
    <w:p>
      <w:pPr>
        <w:spacing w:before="360" w:after="100"/>
        <w:pBdr>
          <w:bottom w:val="single" w:sz="6" w:space="1" w:color="4A90D9"/>
        </w:pBdr>
      </w:pPr>
      <w:r>
        <w:rPr>
          <w:b/>
          <w:color w:val="1E3A5F"/>
          <w:sz w:val="28"/>
        </w:rPr>
        <w:t>4. Business Requirements</w:t>
      </w:r>
    </w:p>
    <w:p>
      <w:pPr>
        <w:spacing w:before="40" w:after="80"/>
      </w:pPr>
      <w:r>
        <w:rPr>
          <w:b w:val="0"/>
          <w:i/>
          <w:color w:val="555555"/>
          <w:sz w:val="20"/>
        </w:rPr>
        <w:t>The following business requirements have been identified. Requirements are numbered BR-01 through BR-10 and are stated as captured — meaning is preserved without alteration.</w:t>
      </w:r>
    </w:p>
    <w:tbl>
      <w:tblPr>
        <w:tblStyle w:val="TableGrid"/>
        <w:tblW w:type="auto" w:w="0"/>
        <w:jc w:val="left"/>
        <w:tblLook w:firstColumn="1" w:firstRow="1" w:lastColumn="0" w:lastRow="0" w:noHBand="0" w:noVBand="1" w:val="04A0"/>
      </w:tblPr>
      <w:tblGrid>
        <w:gridCol w:w="3135"/>
        <w:gridCol w:w="3135"/>
        <w:gridCol w:w="3135"/>
      </w:tblGrid>
      <w:tr>
        <w:tc>
          <w:tcPr>
            <w:tcW w:type="dxa" w:w="1224"/>
            <w:shd w:val="clear" w:color="auto" w:fill="1E3A5F"/>
            <w:tcBorders>
              <w:top w:val="single" w:sz="4" w:space="0" w:color="4A90D9"/>
              <w:left w:val="single" w:sz="4" w:space="0" w:color="4A90D9"/>
              <w:bottom w:val="single" w:sz="4" w:space="0" w:color="4A90D9"/>
              <w:right w:val="single" w:sz="4" w:space="0" w:color="4A90D9"/>
            </w:tcBorders>
            <w:vAlign w:val="center"/>
          </w:tcPr>
          <w:p>
            <w:r>
              <w:rPr>
                <w:b/>
                <w:color w:val="FFFFFF"/>
                <w:sz w:val="18"/>
              </w:rPr>
              <w:t>Req. ID</w:t>
            </w:r>
          </w:p>
        </w:tc>
        <w:tc>
          <w:tcPr>
            <w:tcW w:type="dxa" w:w="8640"/>
            <w:shd w:val="clear" w:color="auto" w:fill="1E3A5F"/>
            <w:tcBorders>
              <w:top w:val="single" w:sz="4" w:space="0" w:color="4A90D9"/>
              <w:left w:val="single" w:sz="4" w:space="0" w:color="4A90D9"/>
              <w:bottom w:val="single" w:sz="4" w:space="0" w:color="4A90D9"/>
              <w:right w:val="single" w:sz="4" w:space="0" w:color="4A90D9"/>
            </w:tcBorders>
            <w:vAlign w:val="center"/>
          </w:tcPr>
          <w:p>
            <w:r>
              <w:rPr>
                <w:b/>
                <w:color w:val="FFFFFF"/>
                <w:sz w:val="18"/>
              </w:rPr>
              <w:t>Requirement</w:t>
            </w:r>
          </w:p>
        </w:tc>
        <w:tc>
          <w:tcPr>
            <w:tcW w:type="dxa" w:w="1656"/>
            <w:shd w:val="clear" w:color="auto" w:fill="1E3A5F"/>
            <w:tcBorders>
              <w:top w:val="single" w:sz="4" w:space="0" w:color="4A90D9"/>
              <w:left w:val="single" w:sz="4" w:space="0" w:color="4A90D9"/>
              <w:bottom w:val="single" w:sz="4" w:space="0" w:color="4A90D9"/>
              <w:right w:val="single" w:sz="4" w:space="0" w:color="4A90D9"/>
            </w:tcBorders>
            <w:vAlign w:val="center"/>
          </w:tcPr>
          <w:p>
            <w:r>
              <w:rPr>
                <w:b/>
                <w:color w:val="FFFFFF"/>
                <w:sz w:val="18"/>
              </w:rPr>
              <w:t>Priority</w:t>
            </w:r>
          </w:p>
        </w:tc>
      </w:tr>
      <w:tr>
        <w:tc>
          <w:tcPr>
            <w:tcW w:type="dxa" w:w="1224"/>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BR-01</w:t>
            </w:r>
          </w:p>
        </w:tc>
        <w:tc>
          <w:tcPr>
            <w:tcW w:type="dxa" w:w="8640"/>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Clarity on data available across all 48 scope areas is required — what data exists, how much data, and what datatypes are involved.</w:t>
            </w:r>
          </w:p>
        </w:tc>
        <w:tc>
          <w:tcPr>
            <w:tcW w:type="dxa" w:w="1656"/>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High</w:t>
            </w:r>
          </w:p>
        </w:tc>
      </w:tr>
      <w:tr>
        <w:tc>
          <w:tcPr>
            <w:tcW w:type="dxa" w:w="1224"/>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BR-02</w:t>
            </w:r>
          </w:p>
        </w:tc>
        <w:tc>
          <w:tcPr>
            <w:tcW w:type="dxa" w:w="8640"/>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Unique scenarios covered in questionnaire and responses must be identified and documented to ensure full coverage.</w:t>
            </w:r>
          </w:p>
        </w:tc>
        <w:tc>
          <w:tcPr>
            <w:tcW w:type="dxa" w:w="1656"/>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High</w:t>
            </w:r>
          </w:p>
        </w:tc>
      </w:tr>
      <w:tr>
        <w:tc>
          <w:tcPr>
            <w:tcW w:type="dxa" w:w="1224"/>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BR-03</w:t>
            </w:r>
          </w:p>
        </w:tc>
        <w:tc>
          <w:tcPr>
            <w:tcW w:type="dxa" w:w="8640"/>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A detailed end-to-end ingestion layer design is required from the beginning. Any changes to ingestion requirements must be communicated upfront — undisclosed changes will require complete code rework and will impact project deadlines.</w:t>
            </w:r>
          </w:p>
        </w:tc>
        <w:tc>
          <w:tcPr>
            <w:tcW w:type="dxa" w:w="1656"/>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High</w:t>
            </w:r>
          </w:p>
        </w:tc>
      </w:tr>
      <w:tr>
        <w:tc>
          <w:tcPr>
            <w:tcW w:type="dxa" w:w="1224"/>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BR-04</w:t>
            </w:r>
          </w:p>
        </w:tc>
        <w:tc>
          <w:tcPr>
            <w:tcW w:type="dxa" w:w="8640"/>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The system must support all file formats currently in use: PDF, Excel, PPT, image formats (.jpg / .png), .msg, .docx, and .html.</w:t>
            </w:r>
          </w:p>
        </w:tc>
        <w:tc>
          <w:tcPr>
            <w:tcW w:type="dxa" w:w="1656"/>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High</w:t>
            </w:r>
          </w:p>
        </w:tc>
      </w:tr>
      <w:tr>
        <w:tc>
          <w:tcPr>
            <w:tcW w:type="dxa" w:w="1224"/>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BR-05</w:t>
            </w:r>
          </w:p>
        </w:tc>
        <w:tc>
          <w:tcPr>
            <w:tcW w:type="dxa" w:w="8640"/>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Transactional data requirements must be defined — including format, volume, timely availability, and what KPIs will be involved across all scope transactional data.</w:t>
            </w:r>
          </w:p>
        </w:tc>
        <w:tc>
          <w:tcPr>
            <w:tcW w:type="dxa" w:w="1656"/>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High</w:t>
            </w:r>
          </w:p>
        </w:tc>
      </w:tr>
      <w:tr>
        <w:tc>
          <w:tcPr>
            <w:tcW w:type="dxa" w:w="1224"/>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BR-06</w:t>
            </w:r>
          </w:p>
        </w:tc>
        <w:tc>
          <w:tcPr>
            <w:tcW w:type="dxa" w:w="8640"/>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Timely availability of data from the Databricks team is required to support development, testing, and evaluation on schedule.</w:t>
            </w:r>
          </w:p>
        </w:tc>
        <w:tc>
          <w:tcPr>
            <w:tcW w:type="dxa" w:w="1656"/>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High</w:t>
            </w:r>
          </w:p>
        </w:tc>
      </w:tr>
      <w:tr>
        <w:tc>
          <w:tcPr>
            <w:tcW w:type="dxa" w:w="1224"/>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BR-07</w:t>
            </w:r>
          </w:p>
        </w:tc>
        <w:tc>
          <w:tcPr>
            <w:tcW w:type="dxa" w:w="8640"/>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Output layout specification to be provided by Ishita. The layout must include all prerequisite column names in the correct structure.</w:t>
            </w:r>
          </w:p>
        </w:tc>
        <w:tc>
          <w:tcPr>
            <w:tcW w:type="dxa" w:w="1656"/>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High</w:t>
            </w:r>
          </w:p>
        </w:tc>
      </w:tr>
      <w:tr>
        <w:tc>
          <w:tcPr>
            <w:tcW w:type="dxa" w:w="1224"/>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BR-08</w:t>
            </w:r>
          </w:p>
        </w:tc>
        <w:tc>
          <w:tcPr>
            <w:tcW w:type="dxa" w:w="8640"/>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External dependencies must be formally acknowledged and managed: Data Engineering Team (data availability), Ishita (output layout), Power Apps Team (downstream integration).</w:t>
            </w:r>
          </w:p>
        </w:tc>
        <w:tc>
          <w:tcPr>
            <w:tcW w:type="dxa" w:w="1656"/>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Medium</w:t>
            </w:r>
          </w:p>
        </w:tc>
      </w:tr>
      <w:tr>
        <w:tc>
          <w:tcPr>
            <w:tcW w:type="dxa" w:w="1224"/>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BR-09</w:t>
            </w:r>
          </w:p>
        </w:tc>
        <w:tc>
          <w:tcPr>
            <w:tcW w:type="dxa" w:w="8640"/>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KPI involvement and definitions for transactional data must be established across all scope areas.</w:t>
            </w:r>
          </w:p>
        </w:tc>
        <w:tc>
          <w:tcPr>
            <w:tcW w:type="dxa" w:w="1656"/>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Medium</w:t>
            </w:r>
          </w:p>
        </w:tc>
      </w:tr>
      <w:tr>
        <w:tc>
          <w:tcPr>
            <w:tcW w:type="dxa" w:w="1224"/>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BR-10</w:t>
            </w:r>
          </w:p>
        </w:tc>
        <w:tc>
          <w:tcPr>
            <w:tcW w:type="dxa" w:w="8640"/>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Supporting documents, local policy, and global policy must be available and maintained across all 48 scope areas — not limited to the current TPI Due Diligence scope.</w:t>
            </w:r>
          </w:p>
        </w:tc>
        <w:tc>
          <w:tcPr>
            <w:tcW w:type="dxa" w:w="1656"/>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High</w:t>
            </w:r>
          </w:p>
        </w:tc>
      </w:tr>
    </w:tbl>
    <w:p/>
    <w:p>
      <w:pPr>
        <w:spacing w:before="360" w:after="100"/>
        <w:pBdr>
          <w:bottom w:val="single" w:sz="6" w:space="1" w:color="4A90D9"/>
        </w:pBdr>
      </w:pPr>
      <w:r>
        <w:rPr>
          <w:b/>
          <w:color w:val="1E3A5F"/>
          <w:sz w:val="28"/>
        </w:rPr>
        <w:t>5. Technical Requirements</w:t>
      </w:r>
    </w:p>
    <w:p>
      <w:pPr>
        <w:spacing w:before="40" w:after="80"/>
      </w:pPr>
      <w:r>
        <w:rPr>
          <w:b w:val="0"/>
          <w:i/>
          <w:color w:val="555555"/>
          <w:sz w:val="20"/>
        </w:rPr>
        <w:t>The following technical access and tooling requirements must be provisioned prior to development commencing.</w:t>
      </w:r>
    </w:p>
    <w:tbl>
      <w:tblPr>
        <w:tblStyle w:val="TableGrid"/>
        <w:tblW w:type="auto" w:w="0"/>
        <w:jc w:val="left"/>
        <w:tblLook w:firstColumn="1" w:firstRow="1" w:lastColumn="0" w:lastRow="0" w:noHBand="0" w:noVBand="1" w:val="04A0"/>
      </w:tblPr>
      <w:tblGrid>
        <w:gridCol w:w="3135"/>
        <w:gridCol w:w="3135"/>
        <w:gridCol w:w="3135"/>
      </w:tblGrid>
      <w:tr>
        <w:tc>
          <w:tcPr>
            <w:tcW w:type="dxa" w:w="1224"/>
            <w:shd w:val="clear" w:color="auto" w:fill="1E3A5F"/>
            <w:tcBorders>
              <w:top w:val="single" w:sz="4" w:space="0" w:color="4A90D9"/>
              <w:left w:val="single" w:sz="4" w:space="0" w:color="4A90D9"/>
              <w:bottom w:val="single" w:sz="4" w:space="0" w:color="4A90D9"/>
              <w:right w:val="single" w:sz="4" w:space="0" w:color="4A90D9"/>
            </w:tcBorders>
            <w:vAlign w:val="center"/>
          </w:tcPr>
          <w:p>
            <w:r>
              <w:rPr>
                <w:b/>
                <w:color w:val="FFFFFF"/>
                <w:sz w:val="18"/>
              </w:rPr>
              <w:t>Req. ID</w:t>
            </w:r>
          </w:p>
        </w:tc>
        <w:tc>
          <w:tcPr>
            <w:tcW w:type="dxa" w:w="8640"/>
            <w:shd w:val="clear" w:color="auto" w:fill="1E3A5F"/>
            <w:tcBorders>
              <w:top w:val="single" w:sz="4" w:space="0" w:color="4A90D9"/>
              <w:left w:val="single" w:sz="4" w:space="0" w:color="4A90D9"/>
              <w:bottom w:val="single" w:sz="4" w:space="0" w:color="4A90D9"/>
              <w:right w:val="single" w:sz="4" w:space="0" w:color="4A90D9"/>
            </w:tcBorders>
            <w:vAlign w:val="center"/>
          </w:tcPr>
          <w:p>
            <w:r>
              <w:rPr>
                <w:b/>
                <w:color w:val="FFFFFF"/>
                <w:sz w:val="18"/>
              </w:rPr>
              <w:t>Requirement</w:t>
            </w:r>
          </w:p>
        </w:tc>
        <w:tc>
          <w:tcPr>
            <w:tcW w:type="dxa" w:w="1656"/>
            <w:shd w:val="clear" w:color="auto" w:fill="1E3A5F"/>
            <w:tcBorders>
              <w:top w:val="single" w:sz="4" w:space="0" w:color="4A90D9"/>
              <w:left w:val="single" w:sz="4" w:space="0" w:color="4A90D9"/>
              <w:bottom w:val="single" w:sz="4" w:space="0" w:color="4A90D9"/>
              <w:right w:val="single" w:sz="4" w:space="0" w:color="4A90D9"/>
            </w:tcBorders>
            <w:vAlign w:val="center"/>
          </w:tcPr>
          <w:p>
            <w:r>
              <w:rPr>
                <w:b/>
                <w:color w:val="FFFFFF"/>
                <w:sz w:val="18"/>
              </w:rPr>
              <w:t>Priority</w:t>
            </w:r>
          </w:p>
        </w:tc>
      </w:tr>
      <w:tr>
        <w:tc>
          <w:tcPr>
            <w:tcW w:type="dxa" w:w="1224"/>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TR-01</w:t>
            </w:r>
          </w:p>
        </w:tc>
        <w:tc>
          <w:tcPr>
            <w:tcW w:type="dxa" w:w="8640"/>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Access to version control system — GitHub or Azure DevOps — for all team members.</w:t>
            </w:r>
          </w:p>
        </w:tc>
        <w:tc>
          <w:tcPr>
            <w:tcW w:type="dxa" w:w="1656"/>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High</w:t>
            </w:r>
          </w:p>
        </w:tc>
      </w:tr>
      <w:tr>
        <w:tc>
          <w:tcPr>
            <w:tcW w:type="dxa" w:w="1224"/>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TR-02</w:t>
            </w:r>
          </w:p>
        </w:tc>
        <w:tc>
          <w:tcPr>
            <w:tcW w:type="dxa" w:w="8640"/>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Access to Azure Boards or Jira for project and task tracking.</w:t>
            </w:r>
          </w:p>
        </w:tc>
        <w:tc>
          <w:tcPr>
            <w:tcW w:type="dxa" w:w="1656"/>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High</w:t>
            </w:r>
          </w:p>
        </w:tc>
      </w:tr>
      <w:tr>
        <w:tc>
          <w:tcPr>
            <w:tcW w:type="dxa" w:w="1224"/>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TR-03</w:t>
            </w:r>
          </w:p>
        </w:tc>
        <w:tc>
          <w:tcPr>
            <w:tcW w:type="dxa" w:w="8640"/>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Access to reasoning/LLM models for code implementation: GPT-4o, GPT-4, GPT-5.1 via JNJ internal gateway.</w:t>
            </w:r>
          </w:p>
        </w:tc>
        <w:tc>
          <w:tcPr>
            <w:tcW w:type="dxa" w:w="1656"/>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High</w:t>
            </w:r>
          </w:p>
        </w:tc>
      </w:tr>
      <w:tr>
        <w:tc>
          <w:tcPr>
            <w:tcW w:type="dxa" w:w="1224"/>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TR-04</w:t>
            </w:r>
          </w:p>
        </w:tc>
        <w:tc>
          <w:tcPr>
            <w:tcW w:type="dxa" w:w="8640"/>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Access to coding/AI assistant models for all developers: Claude Opus 4.7, Opus 4.6, Sonnet 4.6.</w:t>
            </w:r>
          </w:p>
        </w:tc>
        <w:tc>
          <w:tcPr>
            <w:tcW w:type="dxa" w:w="1656"/>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High</w:t>
            </w:r>
          </w:p>
        </w:tc>
      </w:tr>
      <w:tr>
        <w:tc>
          <w:tcPr>
            <w:tcW w:type="dxa" w:w="1224"/>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TR-05</w:t>
            </w:r>
          </w:p>
        </w:tc>
        <w:tc>
          <w:tcPr>
            <w:tcW w:type="dxa" w:w="8640"/>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Access to knowledge graph technology — Neo4j — for graph-based data relationships.</w:t>
            </w:r>
          </w:p>
        </w:tc>
        <w:tc>
          <w:tcPr>
            <w:tcW w:type="dxa" w:w="1656"/>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Medium</w:t>
            </w:r>
          </w:p>
        </w:tc>
      </w:tr>
      <w:tr>
        <w:tc>
          <w:tcPr>
            <w:tcW w:type="dxa" w:w="1224"/>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TR-06</w:t>
            </w:r>
          </w:p>
        </w:tc>
        <w:tc>
          <w:tcPr>
            <w:tcW w:type="dxa" w:w="8640"/>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VS Code access and PAT (Personal Access Tokens) to be provisioned for all developers.</w:t>
            </w:r>
          </w:p>
        </w:tc>
        <w:tc>
          <w:tcPr>
            <w:tcW w:type="dxa" w:w="1656"/>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High</w:t>
            </w:r>
          </w:p>
        </w:tc>
      </w:tr>
    </w:tbl>
    <w:p/>
    <w:p>
      <w:pPr>
        <w:spacing w:before="360" w:after="100"/>
        <w:pBdr>
          <w:bottom w:val="single" w:sz="6" w:space="1" w:color="4A90D9"/>
        </w:pBdr>
      </w:pPr>
      <w:r>
        <w:rPr>
          <w:b/>
          <w:color w:val="1E3A5F"/>
          <w:sz w:val="28"/>
        </w:rPr>
        <w:t>6. External Dependencies</w:t>
      </w:r>
    </w:p>
    <w:tbl>
      <w:tblPr>
        <w:tblStyle w:val="TableGrid"/>
        <w:tblW w:type="auto" w:w="0"/>
        <w:jc w:val="left"/>
        <w:tblLook w:firstColumn="1" w:firstRow="1" w:lastColumn="0" w:lastRow="0" w:noHBand="0" w:noVBand="1" w:val="04A0"/>
      </w:tblPr>
      <w:tblGrid>
        <w:gridCol w:w="3135"/>
        <w:gridCol w:w="3135"/>
        <w:gridCol w:w="3135"/>
      </w:tblGrid>
      <w:tr>
        <w:tc>
          <w:tcPr>
            <w:tcW w:type="dxa" w:w="3600"/>
            <w:shd w:val="clear" w:color="auto" w:fill="1E3A5F"/>
            <w:tcBorders>
              <w:top w:val="single" w:sz="4" w:space="0" w:color="4A90D9"/>
              <w:left w:val="single" w:sz="4" w:space="0" w:color="4A90D9"/>
              <w:bottom w:val="single" w:sz="4" w:space="0" w:color="4A90D9"/>
              <w:right w:val="single" w:sz="4" w:space="0" w:color="4A90D9"/>
            </w:tcBorders>
            <w:vAlign w:val="center"/>
          </w:tcPr>
          <w:p>
            <w:r>
              <w:rPr>
                <w:b/>
                <w:color w:val="FFFFFF"/>
                <w:sz w:val="18"/>
              </w:rPr>
              <w:t>Dependency</w:t>
            </w:r>
          </w:p>
        </w:tc>
        <w:tc>
          <w:tcPr>
            <w:tcW w:type="dxa" w:w="2880"/>
            <w:shd w:val="clear" w:color="auto" w:fill="1E3A5F"/>
            <w:tcBorders>
              <w:top w:val="single" w:sz="4" w:space="0" w:color="4A90D9"/>
              <w:left w:val="single" w:sz="4" w:space="0" w:color="4A90D9"/>
              <w:bottom w:val="single" w:sz="4" w:space="0" w:color="4A90D9"/>
              <w:right w:val="single" w:sz="4" w:space="0" w:color="4A90D9"/>
            </w:tcBorders>
            <w:vAlign w:val="center"/>
          </w:tcPr>
          <w:p>
            <w:r>
              <w:rPr>
                <w:b/>
                <w:color w:val="FFFFFF"/>
                <w:sz w:val="18"/>
              </w:rPr>
              <w:t>Owner</w:t>
            </w:r>
          </w:p>
        </w:tc>
        <w:tc>
          <w:tcPr>
            <w:tcW w:type="dxa" w:w="5040"/>
            <w:shd w:val="clear" w:color="auto" w:fill="1E3A5F"/>
            <w:tcBorders>
              <w:top w:val="single" w:sz="4" w:space="0" w:color="4A90D9"/>
              <w:left w:val="single" w:sz="4" w:space="0" w:color="4A90D9"/>
              <w:bottom w:val="single" w:sz="4" w:space="0" w:color="4A90D9"/>
              <w:right w:val="single" w:sz="4" w:space="0" w:color="4A90D9"/>
            </w:tcBorders>
            <w:vAlign w:val="center"/>
          </w:tcPr>
          <w:p>
            <w:r>
              <w:rPr>
                <w:b/>
                <w:color w:val="FFFFFF"/>
                <w:sz w:val="18"/>
              </w:rPr>
              <w:t>Required For</w:t>
            </w:r>
          </w:p>
        </w:tc>
      </w:tr>
      <w:tr>
        <w:tc>
          <w:tcPr>
            <w:tcW w:type="dxa" w:w="3600"/>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Data availability on Databricks</w:t>
            </w:r>
          </w:p>
        </w:tc>
        <w:tc>
          <w:tcPr>
            <w:tcW w:type="dxa" w:w="2880"/>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Data Engineering Team</w:t>
            </w:r>
          </w:p>
        </w:tc>
        <w:tc>
          <w:tcPr>
            <w:tcW w:type="dxa" w:w="5040"/>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Development, testing, and evaluation</w:t>
            </w:r>
          </w:p>
        </w:tc>
      </w:tr>
      <w:tr>
        <w:tc>
          <w:tcPr>
            <w:tcW w:type="dxa" w:w="3600"/>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Output layout with column specifications</w:t>
            </w:r>
          </w:p>
        </w:tc>
        <w:tc>
          <w:tcPr>
            <w:tcW w:type="dxa" w:w="2880"/>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Ishita</w:t>
            </w:r>
          </w:p>
        </w:tc>
        <w:tc>
          <w:tcPr>
            <w:tcW w:type="dxa" w:w="5040"/>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Output schema design and pipeline output validation</w:t>
            </w:r>
          </w:p>
        </w:tc>
      </w:tr>
      <w:tr>
        <w:tc>
          <w:tcPr>
            <w:tcW w:type="dxa" w:w="3600"/>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Downstream integration</w:t>
            </w:r>
          </w:p>
        </w:tc>
        <w:tc>
          <w:tcPr>
            <w:tcW w:type="dxa" w:w="2880"/>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Power Apps Team</w:t>
            </w:r>
          </w:p>
        </w:tc>
        <w:tc>
          <w:tcPr>
            <w:tcW w:type="dxa" w:w="5040"/>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Consuming AI engine output for reporting/UI</w:t>
            </w:r>
          </w:p>
        </w:tc>
      </w:tr>
      <w:tr>
        <w:tc>
          <w:tcPr>
            <w:tcW w:type="dxa" w:w="3600"/>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LLM / Model access provisioning</w:t>
            </w:r>
          </w:p>
        </w:tc>
        <w:tc>
          <w:tcPr>
            <w:tcW w:type="dxa" w:w="2880"/>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JNJ IT / Azure OpenAI</w:t>
            </w:r>
          </w:p>
        </w:tc>
        <w:tc>
          <w:tcPr>
            <w:tcW w:type="dxa" w:w="5040"/>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Reasoning and coding model access for development</w:t>
            </w:r>
          </w:p>
        </w:tc>
      </w:tr>
      <w:tr>
        <w:tc>
          <w:tcPr>
            <w:tcW w:type="dxa" w:w="3600"/>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PAT tokens and VS Code licensing</w:t>
            </w:r>
          </w:p>
        </w:tc>
        <w:tc>
          <w:tcPr>
            <w:tcW w:type="dxa" w:w="2880"/>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JNJ IT</w:t>
            </w:r>
          </w:p>
        </w:tc>
        <w:tc>
          <w:tcPr>
            <w:tcW w:type="dxa" w:w="5040"/>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Developer tooling setup</w:t>
            </w:r>
          </w:p>
        </w:tc>
      </w:tr>
    </w:tbl>
    <w:p/>
    <w:p>
      <w:pPr>
        <w:spacing w:before="360" w:after="100"/>
        <w:pBdr>
          <w:bottom w:val="single" w:sz="6" w:space="1" w:color="4A90D9"/>
        </w:pBdr>
      </w:pPr>
      <w:r>
        <w:rPr>
          <w:b/>
          <w:color w:val="1E3A5F"/>
          <w:sz w:val="28"/>
        </w:rPr>
        <w:t>7. Open Items &amp; Clarifications Required</w:t>
      </w:r>
    </w:p>
    <w:p>
      <w:pPr>
        <w:spacing w:before="40" w:after="80"/>
      </w:pPr>
      <w:r>
        <w:rPr>
          <w:b w:val="0"/>
          <w:i/>
          <w:color w:val="555555"/>
          <w:sz w:val="20"/>
        </w:rPr>
        <w:t>The following items are open and require responses from the relevant stakeholders before development can proceed.</w:t>
      </w:r>
    </w:p>
    <w:tbl>
      <w:tblPr>
        <w:tblStyle w:val="TableGrid"/>
        <w:tblW w:type="auto" w:w="0"/>
        <w:jc w:val="left"/>
        <w:tblLook w:firstColumn="1" w:firstRow="1" w:lastColumn="0" w:lastRow="0" w:noHBand="0" w:noVBand="1" w:val="04A0"/>
      </w:tblPr>
      <w:tblGrid>
        <w:gridCol w:w="3135"/>
        <w:gridCol w:w="3135"/>
        <w:gridCol w:w="3135"/>
      </w:tblGrid>
      <w:tr>
        <w:tc>
          <w:tcPr>
            <w:tcW w:type="dxa" w:w="1008"/>
            <w:shd w:val="clear" w:color="auto" w:fill="1E3A5F"/>
            <w:tcBorders>
              <w:top w:val="single" w:sz="4" w:space="0" w:color="4A90D9"/>
              <w:left w:val="single" w:sz="4" w:space="0" w:color="4A90D9"/>
              <w:bottom w:val="single" w:sz="4" w:space="0" w:color="4A90D9"/>
              <w:right w:val="single" w:sz="4" w:space="0" w:color="4A90D9"/>
            </w:tcBorders>
            <w:vAlign w:val="center"/>
          </w:tcPr>
          <w:p>
            <w:r>
              <w:rPr>
                <w:b/>
                <w:color w:val="FFFFFF"/>
                <w:sz w:val="18"/>
              </w:rPr>
              <w:t>#</w:t>
            </w:r>
          </w:p>
        </w:tc>
        <w:tc>
          <w:tcPr>
            <w:tcW w:type="dxa" w:w="7632"/>
            <w:shd w:val="clear" w:color="auto" w:fill="1E3A5F"/>
            <w:tcBorders>
              <w:top w:val="single" w:sz="4" w:space="0" w:color="4A90D9"/>
              <w:left w:val="single" w:sz="4" w:space="0" w:color="4A90D9"/>
              <w:bottom w:val="single" w:sz="4" w:space="0" w:color="4A90D9"/>
              <w:right w:val="single" w:sz="4" w:space="0" w:color="4A90D9"/>
            </w:tcBorders>
            <w:vAlign w:val="center"/>
          </w:tcPr>
          <w:p>
            <w:r>
              <w:rPr>
                <w:b/>
                <w:color w:val="FFFFFF"/>
                <w:sz w:val="18"/>
              </w:rPr>
              <w:t>Open Item</w:t>
            </w:r>
          </w:p>
        </w:tc>
        <w:tc>
          <w:tcPr>
            <w:tcW w:type="dxa" w:w="2880"/>
            <w:shd w:val="clear" w:color="auto" w:fill="1E3A5F"/>
            <w:tcBorders>
              <w:top w:val="single" w:sz="4" w:space="0" w:color="4A90D9"/>
              <w:left w:val="single" w:sz="4" w:space="0" w:color="4A90D9"/>
              <w:bottom w:val="single" w:sz="4" w:space="0" w:color="4A90D9"/>
              <w:right w:val="single" w:sz="4" w:space="0" w:color="4A90D9"/>
            </w:tcBorders>
            <w:vAlign w:val="center"/>
          </w:tcPr>
          <w:p>
            <w:r>
              <w:rPr>
                <w:b/>
                <w:color w:val="FFFFFF"/>
                <w:sz w:val="18"/>
              </w:rPr>
              <w:t>Owner</w:t>
            </w:r>
          </w:p>
        </w:tc>
      </w:tr>
      <w:tr>
        <w:tc>
          <w:tcPr>
            <w:tcW w:type="dxa" w:w="1008"/>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OI-01</w:t>
            </w:r>
          </w:p>
        </w:tc>
        <w:tc>
          <w:tcPr>
            <w:tcW w:type="dxa" w:w="7632"/>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What data exists across all 48 scope areas — types, volume, and format?</w:t>
            </w:r>
          </w:p>
        </w:tc>
        <w:tc>
          <w:tcPr>
            <w:tcW w:type="dxa" w:w="2880"/>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Data Engineering Team</w:t>
            </w:r>
          </w:p>
        </w:tc>
      </w:tr>
      <w:tr>
        <w:tc>
          <w:tcPr>
            <w:tcW w:type="dxa" w:w="1008"/>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OI-02</w:t>
            </w:r>
          </w:p>
        </w:tc>
        <w:tc>
          <w:tcPr>
            <w:tcW w:type="dxa" w:w="7632"/>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What are the unique questionnaire scenarios and edge cases to be covered?</w:t>
            </w:r>
          </w:p>
        </w:tc>
        <w:tc>
          <w:tcPr>
            <w:tcW w:type="dxa" w:w="2880"/>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J&amp;J Audit Team</w:t>
            </w:r>
          </w:p>
        </w:tc>
      </w:tr>
      <w:tr>
        <w:tc>
          <w:tcPr>
            <w:tcW w:type="dxa" w:w="1008"/>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OI-03</w:t>
            </w:r>
          </w:p>
        </w:tc>
        <w:tc>
          <w:tcPr>
            <w:tcW w:type="dxa" w:w="7632"/>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Transactional data format, volume, and associated KPI definitions for each scope area?</w:t>
            </w:r>
          </w:p>
        </w:tc>
        <w:tc>
          <w:tcPr>
            <w:tcW w:type="dxa" w:w="2880"/>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Data Engineering Team</w:t>
            </w:r>
          </w:p>
        </w:tc>
      </w:tr>
      <w:tr>
        <w:tc>
          <w:tcPr>
            <w:tcW w:type="dxa" w:w="1008"/>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OI-04</w:t>
            </w:r>
          </w:p>
        </w:tc>
        <w:tc>
          <w:tcPr>
            <w:tcW w:type="dxa" w:w="7632"/>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Output layout specification with all required column names to be shared by Ishita.</w:t>
            </w:r>
          </w:p>
        </w:tc>
        <w:tc>
          <w:tcPr>
            <w:tcW w:type="dxa" w:w="2880"/>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Ishita</w:t>
            </w:r>
          </w:p>
        </w:tc>
      </w:tr>
      <w:tr>
        <w:tc>
          <w:tcPr>
            <w:tcW w:type="dxa" w:w="1008"/>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OI-05</w:t>
            </w:r>
          </w:p>
        </w:tc>
        <w:tc>
          <w:tcPr>
            <w:tcW w:type="dxa" w:w="7632"/>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Confirmed timeline for data availability from Databricks for development and testing phases?</w:t>
            </w:r>
          </w:p>
        </w:tc>
        <w:tc>
          <w:tcPr>
            <w:tcW w:type="dxa" w:w="2880"/>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Data Engineering Team</w:t>
            </w:r>
          </w:p>
        </w:tc>
      </w:tr>
      <w:tr>
        <w:tc>
          <w:tcPr>
            <w:tcW w:type="dxa" w:w="1008"/>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OI-06</w:t>
            </w:r>
          </w:p>
        </w:tc>
        <w:tc>
          <w:tcPr>
            <w:tcW w:type="dxa" w:w="7632"/>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Confirmation of Neo4j access and intended use case within the engine.</w:t>
            </w:r>
          </w:p>
        </w:tc>
        <w:tc>
          <w:tcPr>
            <w:tcW w:type="dxa" w:w="2880"/>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J&amp;J IT / EXL</w:t>
            </w:r>
          </w:p>
        </w:tc>
      </w:tr>
      <w:tr>
        <w:tc>
          <w:tcPr>
            <w:tcW w:type="dxa" w:w="1008"/>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OI-07</w:t>
            </w:r>
          </w:p>
        </w:tc>
        <w:tc>
          <w:tcPr>
            <w:tcW w:type="dxa" w:w="7632"/>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Architecture diagram to be provided and attached to this document.</w:t>
            </w:r>
          </w:p>
        </w:tc>
        <w:tc>
          <w:tcPr>
            <w:tcW w:type="dxa" w:w="2880"/>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EXL Development Team</w:t>
            </w:r>
          </w:p>
        </w:tc>
      </w:tr>
    </w:tbl>
    <w:p/>
    <w:p>
      <w:pPr>
        <w:spacing w:before="360" w:after="100"/>
        <w:pBdr>
          <w:bottom w:val="single" w:sz="6" w:space="1" w:color="4A90D9"/>
        </w:pBdr>
      </w:pPr>
      <w:r>
        <w:rPr>
          <w:b/>
          <w:color w:val="1E3A5F"/>
          <w:sz w:val="28"/>
        </w:rPr>
        <w:t>8. Out of Scope (Current Phase)</w:t>
      </w:r>
    </w:p>
    <w:tbl>
      <w:tblPr>
        <w:tblStyle w:val="TableGrid"/>
        <w:tblW w:type="auto" w:w="0"/>
        <w:jc w:val="left"/>
        <w:tblLook w:firstColumn="1" w:firstRow="1" w:lastColumn="0" w:lastRow="0" w:noHBand="0" w:noVBand="1" w:val="04A0"/>
      </w:tblPr>
      <w:tblGrid>
        <w:gridCol w:w="9406"/>
      </w:tblGrid>
      <w:tr>
        <w:tc>
          <w:tcPr>
            <w:tcW w:type="dxa" w:w="11520"/>
            <w:shd w:val="clear" w:color="auto" w:fill="1E3A5F"/>
            <w:tcBorders>
              <w:top w:val="single" w:sz="4" w:space="0" w:color="4A90D9"/>
              <w:left w:val="single" w:sz="4" w:space="0" w:color="4A90D9"/>
              <w:bottom w:val="single" w:sz="4" w:space="0" w:color="4A90D9"/>
              <w:right w:val="single" w:sz="4" w:space="0" w:color="4A90D9"/>
            </w:tcBorders>
            <w:vAlign w:val="center"/>
          </w:tcPr>
          <w:p>
            <w:r>
              <w:rPr>
                <w:b/>
                <w:color w:val="FFFFFF"/>
                <w:sz w:val="18"/>
              </w:rPr>
              <w:t>Item</w:t>
            </w:r>
          </w:p>
        </w:tc>
      </w:tr>
      <w:tr>
        <w:tc>
          <w:tcPr>
            <w:tcW w:type="dxa" w:w="11520"/>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Transactional data analysis — to be included in a future phase</w:t>
            </w:r>
          </w:p>
        </w:tc>
      </w:tr>
      <w:tr>
        <w:tc>
          <w:tcPr>
            <w:tcW w:type="dxa" w:w="11520"/>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Scope areas beyond TPI Due Diligence — current phase covers Due Diligence only</w:t>
            </w:r>
          </w:p>
        </w:tc>
      </w:tr>
      <w:tr>
        <w:tc>
          <w:tcPr>
            <w:tcW w:type="dxa" w:w="11520"/>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FastAPI / external API layer — to be added in a subsequent phase</w:t>
            </w:r>
          </w:p>
        </w:tc>
      </w:tr>
      <w:tr>
        <w:tc>
          <w:tcPr>
            <w:tcW w:type="dxa" w:w="11520"/>
            <w:shd w:val="clear" w:color="auto" w:fill="FFFFFF"/>
            <w:tcBorders>
              <w:top w:val="single" w:sz="4" w:space="0" w:color="D9D9D9"/>
              <w:left w:val="single" w:sz="4" w:space="0" w:color="D9D9D9"/>
              <w:bottom w:val="single" w:sz="4" w:space="0" w:color="D9D9D9"/>
              <w:right w:val="single" w:sz="4" w:space="0" w:color="D9D9D9"/>
            </w:tcBorders>
            <w:vAlign w:val="center"/>
          </w:tcPr>
          <w:p>
            <w:r>
              <w:rPr>
                <w:color w:val="1A1A2E"/>
                <w:sz w:val="18"/>
              </w:rPr>
              <w:t>Human-in-the-loop workflow integration — placeholder columns reserved, integration TBD</w:t>
            </w:r>
          </w:p>
        </w:tc>
      </w:tr>
      <w:tr>
        <w:tc>
          <w:tcPr>
            <w:tcW w:type="dxa" w:w="11520"/>
            <w:shd w:val="clear" w:color="auto" w:fill="F2F2F2"/>
            <w:tcBorders>
              <w:top w:val="single" w:sz="4" w:space="0" w:color="D9D9D9"/>
              <w:left w:val="single" w:sz="4" w:space="0" w:color="D9D9D9"/>
              <w:bottom w:val="single" w:sz="4" w:space="0" w:color="D9D9D9"/>
              <w:right w:val="single" w:sz="4" w:space="0" w:color="D9D9D9"/>
            </w:tcBorders>
            <w:vAlign w:val="center"/>
          </w:tcPr>
          <w:p>
            <w:r>
              <w:rPr>
                <w:color w:val="1A1A2E"/>
                <w:sz w:val="18"/>
              </w:rPr>
              <w:t>System architecture diagram — to be appended separately by the development team</w:t>
            </w:r>
          </w:p>
        </w:tc>
      </w:tr>
    </w:tbl>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