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57A"/>
          <w:sz w:val="44"/>
        </w:rPr>
        <w:t>AI Auditor — Risk Scoring Algorithm Overview</w:t>
      </w:r>
    </w:p>
    <w:p>
      <w:pPr>
        <w:jc w:val="center"/>
      </w:pPr>
      <w:r>
        <w:rPr>
          <w:b/>
          <w:i w:val="0"/>
        </w:rPr>
        <w:t xml:space="preserve">Project: </w:t>
      </w:r>
      <w:r>
        <w:rPr>
          <w:b w:val="0"/>
          <w:i w:val="0"/>
        </w:rPr>
        <w:t xml:space="preserve">J&amp;J TPI Due Diligence — Enterprise AI Audit Engine    </w:t>
      </w:r>
      <w:r>
        <w:rPr>
          <w:b/>
          <w:i w:val="0"/>
        </w:rPr>
        <w:t xml:space="preserve">Prepared by: </w:t>
      </w:r>
      <w:r>
        <w:rPr>
          <w:b w:val="0"/>
          <w:i w:val="0"/>
        </w:rPr>
        <w:t xml:space="preserve">EXL Analytics    </w:t>
      </w:r>
      <w:r>
        <w:rPr>
          <w:b/>
          <w:i w:val="0"/>
        </w:rPr>
        <w:t xml:space="preserve">Date: </w:t>
      </w:r>
      <w:r>
        <w:rPr>
          <w:b w:val="0"/>
          <w:i w:val="0"/>
        </w:rPr>
        <w:t>August 2026</w:t>
      </w:r>
    </w:p>
    <w:p>
      <w:pPr>
        <w:pBdr>
          <w:bottom w:val="single" w:sz="6" w:color="2E74B5"/>
        </w:pBdr>
      </w:pPr>
    </w:p>
    <w:p/>
    <w:p>
      <w:pPr>
        <w:pStyle w:val="Heading1"/>
      </w:pPr>
      <w:r>
        <w:rPr>
          <w:color w:val="1F457A"/>
        </w:rPr>
        <w:t>1. Overview</w:t>
      </w:r>
    </w:p>
    <w:p>
      <w:r>
        <w:t xml:space="preserve">The AI Auditor processes each questionnaire row through a multi-stage pipeline of six AI agents and one rule-based transactional analysis module. Every row produces a </w:t>
      </w:r>
      <w:r>
        <w:rPr>
          <w:b/>
          <w:i w:val="0"/>
        </w:rPr>
        <w:t>Risk Score (1–10)</w:t>
      </w:r>
      <w:r>
        <w:t xml:space="preserve">, a </w:t>
      </w:r>
      <w:r>
        <w:rPr>
          <w:b/>
          <w:i w:val="0"/>
        </w:rPr>
        <w:t>Risk Type</w:t>
      </w:r>
      <w:r>
        <w:t xml:space="preserve">, and a </w:t>
      </w:r>
      <w:r>
        <w:rPr>
          <w:b/>
          <w:i w:val="0"/>
        </w:rPr>
        <w:t>Risk Rationale</w:t>
      </w:r>
      <w:r>
        <w:t xml:space="preserve"> grounded exclusively in the permitted policy documents and supporting evidence provided.</w:t>
      </w:r>
    </w:p>
    <w:p>
      <w:r>
        <w:t>The pipeline runs in two phases:</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F457A"/>
          </w:tcPr>
          <w:p>
            <w:pPr>
              <w:jc w:val="center"/>
            </w:pPr>
            <w:r>
              <w:rPr>
                <w:b/>
                <w:color w:val="FFFFFF"/>
                <w:sz w:val="18"/>
              </w:rPr>
              <w:t>Phase</w:t>
            </w:r>
          </w:p>
        </w:tc>
        <w:tc>
          <w:tcPr>
            <w:tcW w:type="dxa" w:w="3600"/>
            <w:shd w:val="clear" w:color="auto" w:fill="1F457A"/>
          </w:tcPr>
          <w:p>
            <w:pPr>
              <w:jc w:val="center"/>
            </w:pPr>
            <w:r>
              <w:rPr>
                <w:b/>
                <w:color w:val="FFFFFF"/>
                <w:sz w:val="18"/>
              </w:rPr>
              <w:t>Scope</w:t>
            </w:r>
          </w:p>
        </w:tc>
        <w:tc>
          <w:tcPr>
            <w:tcW w:type="dxa" w:w="2880"/>
            <w:shd w:val="clear" w:color="auto" w:fill="1F457A"/>
          </w:tcPr>
          <w:p>
            <w:pPr>
              <w:jc w:val="center"/>
            </w:pPr>
            <w:r>
              <w:rPr>
                <w:b/>
                <w:color w:val="FFFFFF"/>
                <w:sz w:val="18"/>
              </w:rPr>
              <w:t>Trigger</w:t>
            </w:r>
          </w:p>
        </w:tc>
      </w:tr>
      <w:tr>
        <w:tc>
          <w:tcPr>
            <w:tcW w:type="dxa" w:w="3600"/>
            <w:shd w:val="clear" w:color="auto" w:fill="EBF3FB"/>
          </w:tcPr>
          <w:p>
            <w:r>
              <w:rPr>
                <w:sz w:val="18"/>
              </w:rPr>
              <w:t>Phase 1 &amp; 2 — Questionnaire Analysis</w:t>
            </w:r>
          </w:p>
        </w:tc>
        <w:tc>
          <w:tcPr>
            <w:tcW w:type="dxa" w:w="3600"/>
            <w:shd w:val="clear" w:color="auto" w:fill="EBF3FB"/>
          </w:tcPr>
          <w:p>
            <w:r>
              <w:rPr>
                <w:sz w:val="18"/>
              </w:rPr>
              <w:t>One pipeline run per questionnaire row</w:t>
            </w:r>
          </w:p>
        </w:tc>
        <w:tc>
          <w:tcPr>
            <w:tcW w:type="dxa" w:w="2880"/>
            <w:shd w:val="clear" w:color="auto" w:fill="EBF3FB"/>
          </w:tcPr>
          <w:p>
            <w:r>
              <w:rPr>
                <w:sz w:val="18"/>
              </w:rPr>
              <w:t>Runs for every question</w:t>
            </w:r>
          </w:p>
        </w:tc>
      </w:tr>
      <w:tr>
        <w:tc>
          <w:tcPr>
            <w:tcW w:type="dxa" w:w="3600"/>
            <w:shd w:val="clear" w:color="auto" w:fill="FFFFFF"/>
          </w:tcPr>
          <w:p>
            <w:r>
              <w:rPr>
                <w:sz w:val="18"/>
              </w:rPr>
              <w:t>Phase 3 — Transactional Data Analysis</w:t>
            </w:r>
          </w:p>
        </w:tc>
        <w:tc>
          <w:tcPr>
            <w:tcW w:type="dxa" w:w="3600"/>
            <w:shd w:val="clear" w:color="auto" w:fill="FFFFFF"/>
          </w:tcPr>
          <w:p>
            <w:r>
              <w:rPr>
                <w:sz w:val="18"/>
              </w:rPr>
              <w:t>One run per audit scope</w:t>
            </w:r>
          </w:p>
        </w:tc>
        <w:tc>
          <w:tcPr>
            <w:tcW w:type="dxa" w:w="2880"/>
            <w:shd w:val="clear" w:color="auto" w:fill="FFFFFF"/>
          </w:tcPr>
          <w:p>
            <w:r>
              <w:rPr>
                <w:sz w:val="18"/>
              </w:rPr>
              <w:t>Runs once at end of audit</w:t>
            </w:r>
          </w:p>
        </w:tc>
      </w:tr>
    </w:tbl>
    <w:p/>
    <w:p>
      <w:pPr>
        <w:pStyle w:val="Heading1"/>
      </w:pPr>
      <w:r>
        <w:rPr>
          <w:color w:val="1F457A"/>
        </w:rPr>
        <w:t>2. Knowledge Base (Vector Search Indexes)</w:t>
      </w:r>
    </w:p>
    <w:p>
      <w:r>
        <w:t xml:space="preserve">Before the pipeline begins, all source documents are chunked (800 tokens, 100-token overlap) and embedded using </w:t>
      </w:r>
      <w:r>
        <w:rPr>
          <w:b/>
          <w:i w:val="0"/>
        </w:rPr>
        <w:t>Azure OpenAI text-embedding-3-small (1536 dimensions)</w:t>
      </w:r>
      <w:r>
        <w:t xml:space="preserve"> into three Databricks Vector Search indexes:</w:t>
      </w:r>
    </w:p>
    <w:tbl>
      <w:tblPr>
        <w:tblStyle w:val="TableGrid"/>
        <w:tblW w:type="auto" w:w="0"/>
        <w:tblLook w:firstColumn="1" w:firstRow="1" w:lastColumn="0" w:lastRow="0" w:noHBand="0" w:noVBand="1" w:val="04A0"/>
      </w:tblPr>
      <w:tblGrid>
        <w:gridCol w:w="3135"/>
        <w:gridCol w:w="3135"/>
        <w:gridCol w:w="3135"/>
      </w:tblGrid>
      <w:tr>
        <w:tc>
          <w:tcPr>
            <w:tcW w:type="dxa" w:w="2160"/>
            <w:shd w:val="clear" w:color="auto" w:fill="1F457A"/>
          </w:tcPr>
          <w:p>
            <w:pPr>
              <w:jc w:val="center"/>
            </w:pPr>
            <w:r>
              <w:rPr>
                <w:b/>
                <w:color w:val="FFFFFF"/>
                <w:sz w:val="18"/>
              </w:rPr>
              <w:t>Index</w:t>
            </w:r>
          </w:p>
        </w:tc>
        <w:tc>
          <w:tcPr>
            <w:tcW w:type="dxa" w:w="3168"/>
            <w:shd w:val="clear" w:color="auto" w:fill="1F457A"/>
          </w:tcPr>
          <w:p>
            <w:pPr>
              <w:jc w:val="center"/>
            </w:pPr>
            <w:r>
              <w:rPr>
                <w:b/>
                <w:color w:val="FFFFFF"/>
                <w:sz w:val="18"/>
              </w:rPr>
              <w:t>Source Volume</w:t>
            </w:r>
          </w:p>
        </w:tc>
        <w:tc>
          <w:tcPr>
            <w:tcW w:type="dxa" w:w="4752"/>
            <w:shd w:val="clear" w:color="auto" w:fill="1F457A"/>
          </w:tcPr>
          <w:p>
            <w:pPr>
              <w:jc w:val="center"/>
            </w:pPr>
            <w:r>
              <w:rPr>
                <w:b/>
                <w:color w:val="FFFFFF"/>
                <w:sz w:val="18"/>
              </w:rPr>
              <w:t>Contents</w:t>
            </w:r>
          </w:p>
        </w:tc>
      </w:tr>
      <w:tr>
        <w:tc>
          <w:tcPr>
            <w:tcW w:type="dxa" w:w="2160"/>
            <w:shd w:val="clear" w:color="auto" w:fill="EBF3FB"/>
          </w:tcPr>
          <w:p>
            <w:r>
              <w:rPr>
                <w:sz w:val="18"/>
              </w:rPr>
              <w:t>HCBI Index</w:t>
            </w:r>
          </w:p>
        </w:tc>
        <w:tc>
          <w:tcPr>
            <w:tcW w:type="dxa" w:w="3168"/>
            <w:shd w:val="clear" w:color="auto" w:fill="EBF3FB"/>
          </w:tcPr>
          <w:p>
            <w:r>
              <w:rPr>
                <w:sz w:val="18"/>
              </w:rPr>
              <w:t>/Volumes/.../global_policies</w:t>
            </w:r>
          </w:p>
        </w:tc>
        <w:tc>
          <w:tcPr>
            <w:tcW w:type="dxa" w:w="4752"/>
            <w:shd w:val="clear" w:color="auto" w:fill="EBF3FB"/>
          </w:tcPr>
          <w:p>
            <w:r>
              <w:rPr>
                <w:sz w:val="18"/>
              </w:rPr>
              <w:t>Global HCBI Policy (TV-POL-02257, TV-POL-02312)</w:t>
            </w:r>
          </w:p>
        </w:tc>
      </w:tr>
      <w:tr>
        <w:tc>
          <w:tcPr>
            <w:tcW w:type="dxa" w:w="2160"/>
            <w:shd w:val="clear" w:color="auto" w:fill="FFFFFF"/>
          </w:tcPr>
          <w:p>
            <w:r>
              <w:rPr>
                <w:sz w:val="18"/>
              </w:rPr>
              <w:t>Policy Index</w:t>
            </w:r>
          </w:p>
        </w:tc>
        <w:tc>
          <w:tcPr>
            <w:tcW w:type="dxa" w:w="3168"/>
            <w:shd w:val="clear" w:color="auto" w:fill="FFFFFF"/>
          </w:tcPr>
          <w:p>
            <w:r>
              <w:rPr>
                <w:sz w:val="18"/>
              </w:rPr>
              <w:t>/Volumes/.../local_policies_tpi</w:t>
            </w:r>
          </w:p>
        </w:tc>
        <w:tc>
          <w:tcPr>
            <w:tcW w:type="dxa" w:w="4752"/>
            <w:shd w:val="clear" w:color="auto" w:fill="FFFFFF"/>
          </w:tcPr>
          <w:p>
            <w:r>
              <w:rPr>
                <w:sz w:val="18"/>
              </w:rPr>
              <w:t>TPI-specific SOPs, guidelines, work instructions (16 documents)</w:t>
            </w:r>
          </w:p>
        </w:tc>
      </w:tr>
      <w:tr>
        <w:tc>
          <w:tcPr>
            <w:tcW w:type="dxa" w:w="2160"/>
            <w:shd w:val="clear" w:color="auto" w:fill="EBF3FB"/>
          </w:tcPr>
          <w:p>
            <w:r>
              <w:rPr>
                <w:sz w:val="18"/>
              </w:rPr>
              <w:t>Supporting Docs Index</w:t>
            </w:r>
          </w:p>
        </w:tc>
        <w:tc>
          <w:tcPr>
            <w:tcW w:type="dxa" w:w="3168"/>
            <w:shd w:val="clear" w:color="auto" w:fill="EBF3FB"/>
          </w:tcPr>
          <w:p>
            <w:r>
              <w:rPr>
                <w:sz w:val="18"/>
              </w:rPr>
              <w:t>/Volumes/.../supporting_documents</w:t>
            </w:r>
          </w:p>
        </w:tc>
        <w:tc>
          <w:tcPr>
            <w:tcW w:type="dxa" w:w="4752"/>
            <w:shd w:val="clear" w:color="auto" w:fill="EBF3FB"/>
          </w:tcPr>
          <w:p>
            <w:r>
              <w:rPr>
                <w:sz w:val="18"/>
              </w:rPr>
              <w:t>All IDR evidence files (PDFs, Excel, Word, emails, etc.)</w:t>
            </w:r>
          </w:p>
        </w:tc>
      </w:tr>
    </w:tbl>
    <w:p/>
    <w:p>
      <w:r>
        <w:t>At query time, each agent retrieves the top-k most semantically relevant chunks for the question being assessed.</w:t>
      </w:r>
    </w:p>
    <w:p>
      <w:pPr>
        <w:pStyle w:val="Heading1"/>
      </w:pPr>
      <w:r>
        <w:rPr>
          <w:color w:val="1F457A"/>
        </w:rPr>
        <w:t>3. Source Hierarchy</w:t>
      </w:r>
    </w:p>
    <w:p>
      <w:r>
        <w:t>When policy sources conflict, the following priority order is applied (highest to lowest):</w:t>
      </w:r>
    </w:p>
    <w:p>
      <w:pPr>
        <w:pStyle w:val="ListNumber"/>
      </w:pPr>
      <w:r>
        <w:rPr>
          <w:b/>
          <w:i w:val="0"/>
        </w:rPr>
        <w:t>HCBI Guide (Global Policy)</w:t>
      </w:r>
      <w:r>
        <w:t xml:space="preserve"> — highest authority</w:t>
      </w:r>
    </w:p>
    <w:p>
      <w:pPr>
        <w:pStyle w:val="ListNumber"/>
      </w:pPr>
      <w:r>
        <w:rPr>
          <w:b/>
          <w:i w:val="0"/>
        </w:rPr>
        <w:t>TPI Due Diligence Policy</w:t>
      </w:r>
      <w:r/>
    </w:p>
    <w:p>
      <w:pPr>
        <w:pStyle w:val="ListNumber"/>
      </w:pPr>
      <w:r>
        <w:rPr>
          <w:b/>
          <w:i w:val="0"/>
        </w:rPr>
        <w:t>Official supporting documents</w:t>
      </w:r>
      <w:r/>
    </w:p>
    <w:p>
      <w:pPr>
        <w:pStyle w:val="ListNumber"/>
      </w:pPr>
      <w:r>
        <w:rPr>
          <w:b/>
          <w:i w:val="0"/>
        </w:rPr>
        <w:t>Questionnaire responses</w:t>
      </w:r>
      <w:r/>
    </w:p>
    <w:p>
      <w:pPr>
        <w:pStyle w:val="ListNumber"/>
      </w:pPr>
      <w:r>
        <w:rPr>
          <w:b/>
          <w:i w:val="0"/>
        </w:rPr>
        <w:t>Narrative statements</w:t>
      </w:r>
      <w:r>
        <w:t xml:space="preserve"> — lowest authority</w:t>
      </w:r>
    </w:p>
    <w:p>
      <w:r>
        <w:t>The higher-priority source always governs. Conflicts are identified in the Risk Rationale; a conflict alone does not constitute non-compliance.</w:t>
      </w:r>
    </w:p>
    <w:p>
      <w:pPr>
        <w:pStyle w:val="Heading1"/>
      </w:pPr>
      <w:r>
        <w:rPr>
          <w:color w:val="1F457A"/>
        </w:rPr>
        <w:t>4. Phase 1 &amp; 2 — Per-Question Pipeline</w:t>
      </w:r>
    </w:p>
    <w:p>
      <w:r>
        <w:t>Each questionnaire row passes sequentially through six agents:</w:t>
      </w:r>
    </w:p>
    <w:p>
      <w:pPr>
        <w:spacing w:before="80" w:after="80"/>
        <w:ind w:left="567"/>
        <w:shd w:val="clear" w:color="auto" w:fill="F2F2F2"/>
      </w:pPr>
      <w:r>
        <w:rPr>
          <w:rFonts w:ascii="Courier New" w:hAnsi="Courier New"/>
          <w:color w:val="1A1A1A"/>
          <w:sz w:val="17"/>
        </w:rPr>
        <w:t>Question + Response</w:t>
        <w:br/>
        <w:t xml:space="preserve">        │</w:t>
        <w:br/>
        <w:t xml:space="preserve">        ▼</w:t>
        <w:br/>
        <w:t>┌──────────────────┐  ┌───────────────────────┐  ┌──────────────────────┐</w:t>
        <w:br/>
        <w:t>│ HCBI Policy Agent│  │Policy Knowledge Agent │  │Supporting Docs Agent │</w:t>
        <w:br/>
        <w:t>│  (HCBI index RAG)│  │  (Policy index RAG)   │  │(Supporting index RAG)│</w:t>
        <w:br/>
        <w:t>└────────┬─────────┘  └───────────┬───────────┘  └──────────┬───────────┘</w:t>
        <w:br/>
        <w:t xml:space="preserve">         └──────────────────────┬──────────────────────┘</w:t>
        <w:br/>
        <w:t xml:space="preserve">                                ▼</w:t>
        <w:br/>
        <w:t xml:space="preserve">                   ┌────────────────────────┐</w:t>
        <w:br/>
        <w:t xml:space="preserve">                   │  Risk Evaluation Agent  │</w:t>
        <w:br/>
        <w:t xml:space="preserve">                   │  (Gap Analysis + Level) │</w:t>
        <w:br/>
        <w:t xml:space="preserve">                   └───────────┬────────────┘</w:t>
        <w:br/>
        <w:t xml:space="preserve">                               │</w:t>
        <w:br/>
        <w:t xml:space="preserve">              transactional_intent_detected?</w:t>
        <w:br/>
        <w:t xml:space="preserve">                YES ▼                NO ▼</w:t>
        <w:br/>
        <w:t xml:space="preserve">    ┌──────────────────────────┐      │</w:t>
        <w:br/>
        <w:t xml:space="preserve">    │ Transactional Data Agent │      │</w:t>
        <w:br/>
        <w:t xml:space="preserve">    │   (NL-to-SQL on Delta)   │      │</w:t>
        <w:br/>
        <w:t xml:space="preserve">    └─────────────┬────────────┘      │</w:t>
        <w:br/>
        <w:t xml:space="preserve">                  └──────────┬────────┘</w:t>
        <w:br/>
        <w:t xml:space="preserve">                             ▼</w:t>
        <w:br/>
        <w:t xml:space="preserve">                  ┌────────────────────────┐</w:t>
        <w:br/>
        <w:t xml:space="preserve">                  │   Risk Analyzer Agent   │</w:t>
        <w:br/>
        <w:t xml:space="preserve">                  │  (Final Score + Output) │</w:t>
        <w:br/>
        <w:t xml:space="preserve">                  └────────────────────────┘</w:t>
      </w:r>
    </w:p>
    <w:p>
      <w:pPr>
        <w:pStyle w:val="Heading2"/>
      </w:pPr>
      <w:r>
        <w:rPr>
          <w:color w:val="2E74B5"/>
        </w:rPr>
        <w:t>4.1 HCBI Policy Agent</w:t>
      </w:r>
    </w:p>
    <w:p>
      <w:r>
        <w:t>Performs semantic retrieval (top-5 chunks) from the HCBI global policy index. Provides the HCBI framework context to all downstream agents.</w:t>
      </w:r>
    </w:p>
    <w:p>
      <w:pPr>
        <w:pStyle w:val="Heading2"/>
      </w:pPr>
      <w:r>
        <w:rPr>
          <w:color w:val="2E74B5"/>
        </w:rPr>
        <w:t>4.2 Policy Knowledge Agent</w:t>
      </w:r>
    </w:p>
    <w:p>
      <w:r>
        <w:t>Performs semantic retrieval (top-5 chunks) from the TPI-specific policy index. Provides the applicable local policy context.</w:t>
      </w:r>
    </w:p>
    <w:p>
      <w:pPr>
        <w:pStyle w:val="Heading2"/>
      </w:pPr>
      <w:r>
        <w:rPr>
          <w:color w:val="2E74B5"/>
        </w:rPr>
        <w:t>4.3 Supporting Docs Agent</w:t>
      </w:r>
    </w:p>
    <w:p>
      <w:r>
        <w:t>Performs semantic retrieval (top-5 chunks) from the supporting documents index. Retrieves the most relevant evidence files submitted by the auditee for the specific question.</w:t>
      </w:r>
    </w:p>
    <w:p>
      <w:pPr>
        <w:pStyle w:val="Heading2"/>
      </w:pPr>
      <w:r>
        <w:rPr>
          <w:color w:val="2E74B5"/>
        </w:rPr>
        <w:t>4.4 Risk Evaluation Agent</w:t>
      </w:r>
    </w:p>
    <w:p>
      <w:r>
        <w:t>Receives accumulated context from all three retrieval agents and performs:</w:t>
      </w:r>
    </w:p>
    <w:p>
      <w:pPr>
        <w:pStyle w:val="ListBullet"/>
        <w:ind w:left="360"/>
      </w:pPr>
      <w:r>
        <w:rPr>
          <w:b/>
        </w:rPr>
        <w:t>Compliance gap identification</w:t>
      </w:r>
      <w:r>
        <w:t xml:space="preserve"> — maps each policy requirement against the auditor response</w:t>
      </w:r>
    </w:p>
    <w:p>
      <w:pPr>
        <w:pStyle w:val="ListBullet"/>
        <w:ind w:left="360"/>
      </w:pPr>
      <w:r>
        <w:rPr>
          <w:b/>
        </w:rPr>
        <w:t>Risk level assignment</w:t>
      </w:r>
      <w:r>
        <w:t xml:space="preserve"> — assigns one of: High | Medium | Low | No Risk</w:t>
      </w:r>
    </w:p>
    <w:p>
      <w:pPr>
        <w:pStyle w:val="ListBullet"/>
        <w:ind w:left="360"/>
      </w:pPr>
      <w:r>
        <w:rPr>
          <w:b/>
        </w:rPr>
        <w:t>Transactional intent detection</w:t>
      </w:r>
      <w:r>
        <w:t xml:space="preserve"> — flags true if the question involves payments, revenue, credit memos, or quantitative claims verifiable against transactional data</w:t>
      </w:r>
    </w:p>
    <w:p>
      <w:r>
        <w:t>Output is structured JSON containing compliance gaps, risk level, and transactional intent flag.</w:t>
      </w:r>
    </w:p>
    <w:p>
      <w:pPr>
        <w:pStyle w:val="Heading2"/>
      </w:pPr>
      <w:r>
        <w:rPr>
          <w:color w:val="2E74B5"/>
        </w:rPr>
        <w:t>4.5 Transactional Data Agent (conditional)</w:t>
      </w:r>
    </w:p>
    <w:p>
      <w:r>
        <w:t xml:space="preserve">Activated only when </w:t>
      </w:r>
      <w:r>
        <w:rPr>
          <w:rFonts w:ascii="Courier New" w:hAnsi="Courier New"/>
          <w:b w:val="0"/>
          <w:i w:val="0"/>
          <w:sz w:val="18"/>
        </w:rPr>
        <w:t>transactional_intent_detected = true</w:t>
      </w:r>
      <w:r>
        <w:t>. Uses LLM-generated SQL (NL-to-SQL) to query three Databricks Delta tables:</w:t>
      </w:r>
    </w:p>
    <w:tbl>
      <w:tblPr>
        <w:tblStyle w:val="TableGrid"/>
        <w:tblW w:type="auto" w:w="0"/>
        <w:tblLook w:firstColumn="1" w:firstRow="1" w:lastColumn="0" w:lastRow="0" w:noHBand="0" w:noVBand="1" w:val="04A0"/>
      </w:tblPr>
      <w:tblGrid>
        <w:gridCol w:w="4703"/>
        <w:gridCol w:w="4703"/>
      </w:tblGrid>
      <w:tr>
        <w:tc>
          <w:tcPr>
            <w:tcW w:type="dxa" w:w="3600"/>
            <w:shd w:val="clear" w:color="auto" w:fill="1F457A"/>
          </w:tcPr>
          <w:p>
            <w:pPr>
              <w:jc w:val="center"/>
            </w:pPr>
            <w:r>
              <w:rPr>
                <w:b/>
                <w:color w:val="FFFFFF"/>
                <w:sz w:val="18"/>
              </w:rPr>
              <w:t>Table</w:t>
            </w:r>
          </w:p>
        </w:tc>
        <w:tc>
          <w:tcPr>
            <w:tcW w:type="dxa" w:w="6480"/>
            <w:shd w:val="clear" w:color="auto" w:fill="1F457A"/>
          </w:tcPr>
          <w:p>
            <w:pPr>
              <w:jc w:val="center"/>
            </w:pPr>
            <w:r>
              <w:rPr>
                <w:b/>
                <w:color w:val="FFFFFF"/>
                <w:sz w:val="18"/>
              </w:rPr>
              <w:t>Content</w:t>
            </w:r>
          </w:p>
        </w:tc>
      </w:tr>
      <w:tr>
        <w:tc>
          <w:tcPr>
            <w:tcW w:type="dxa" w:w="3600"/>
            <w:shd w:val="clear" w:color="auto" w:fill="EBF3FB"/>
          </w:tcPr>
          <w:p>
            <w:r>
              <w:rPr>
                <w:sz w:val="18"/>
              </w:rPr>
              <w:t>payments_dashboard_summary</w:t>
            </w:r>
          </w:p>
        </w:tc>
        <w:tc>
          <w:tcPr>
            <w:tcW w:type="dxa" w:w="6480"/>
            <w:shd w:val="clear" w:color="auto" w:fill="EBF3FB"/>
          </w:tcPr>
          <w:p>
            <w:r>
              <w:rPr>
                <w:sz w:val="18"/>
              </w:rPr>
              <w:t>TPI payment transactions — vendor, invoice amount, GL account, date</w:t>
            </w:r>
          </w:p>
        </w:tc>
      </w:tr>
      <w:tr>
        <w:tc>
          <w:tcPr>
            <w:tcW w:type="dxa" w:w="3600"/>
            <w:shd w:val="clear" w:color="auto" w:fill="FFFFFF"/>
          </w:tcPr>
          <w:p>
            <w:r>
              <w:rPr>
                <w:sz w:val="18"/>
              </w:rPr>
              <w:t>revenue_dashboard_credit_memo</w:t>
            </w:r>
          </w:p>
        </w:tc>
        <w:tc>
          <w:tcPr>
            <w:tcW w:type="dxa" w:w="6480"/>
            <w:shd w:val="clear" w:color="auto" w:fill="FFFFFF"/>
          </w:tcPr>
          <w:p>
            <w:r>
              <w:rPr>
                <w:sz w:val="18"/>
              </w:rPr>
              <w:t>Credit memo and returns data</w:t>
            </w:r>
          </w:p>
        </w:tc>
      </w:tr>
      <w:tr>
        <w:tc>
          <w:tcPr>
            <w:tcW w:type="dxa" w:w="3600"/>
            <w:shd w:val="clear" w:color="auto" w:fill="EBF3FB"/>
          </w:tcPr>
          <w:p>
            <w:r>
              <w:rPr>
                <w:sz w:val="18"/>
              </w:rPr>
              <w:t>revenue_dashboard_summary</w:t>
            </w:r>
          </w:p>
        </w:tc>
        <w:tc>
          <w:tcPr>
            <w:tcW w:type="dxa" w:w="6480"/>
            <w:shd w:val="clear" w:color="auto" w:fill="EBF3FB"/>
          </w:tcPr>
          <w:p>
            <w:r>
              <w:rPr>
                <w:sz w:val="18"/>
              </w:rPr>
              <w:t>TPI revenue — customer, billing net value, transaction type</w:t>
            </w:r>
          </w:p>
        </w:tc>
      </w:tr>
    </w:tbl>
    <w:p/>
    <w:p>
      <w:r>
        <w:t>Every SQL query is scope-filtered (</w:t>
      </w:r>
      <w:r>
        <w:rPr>
          <w:rFonts w:ascii="Courier New" w:hAnsi="Courier New"/>
          <w:b w:val="0"/>
          <w:i w:val="0"/>
          <w:sz w:val="18"/>
        </w:rPr>
        <w:t>WHERE scope_id = '&lt;scope&gt;'</w:t>
      </w:r>
      <w:r>
        <w:t>). The agent returns quantitative evidence that validates or contradicts the auditor response.</w:t>
      </w:r>
    </w:p>
    <w:p>
      <w:pPr>
        <w:pStyle w:val="Heading2"/>
      </w:pPr>
      <w:r>
        <w:rPr>
          <w:color w:val="2E74B5"/>
        </w:rPr>
        <w:t>4.6 Risk Analyzer Agent</w:t>
      </w:r>
    </w:p>
    <w:p>
      <w:r>
        <w:t>Performs the final 12-step sequential assessment:</w:t>
      </w:r>
    </w:p>
    <w:tbl>
      <w:tblPr>
        <w:tblStyle w:val="TableGrid"/>
        <w:tblW w:type="auto" w:w="0"/>
        <w:tblLook w:firstColumn="1" w:firstRow="1" w:lastColumn="0" w:lastRow="0" w:noHBand="0" w:noVBand="1" w:val="04A0"/>
      </w:tblPr>
      <w:tblGrid>
        <w:gridCol w:w="4703"/>
        <w:gridCol w:w="4703"/>
      </w:tblGrid>
      <w:tr>
        <w:tc>
          <w:tcPr>
            <w:tcW w:type="dxa" w:w="1008"/>
            <w:shd w:val="clear" w:color="auto" w:fill="1F457A"/>
          </w:tcPr>
          <w:p>
            <w:pPr>
              <w:jc w:val="center"/>
            </w:pPr>
            <w:r>
              <w:rPr>
                <w:b/>
                <w:color w:val="FFFFFF"/>
                <w:sz w:val="18"/>
              </w:rPr>
              <w:t>Step</w:t>
            </w:r>
          </w:p>
        </w:tc>
        <w:tc>
          <w:tcPr>
            <w:tcW w:type="dxa" w:w="9072"/>
            <w:shd w:val="clear" w:color="auto" w:fill="1F457A"/>
          </w:tcPr>
          <w:p>
            <w:pPr>
              <w:jc w:val="center"/>
            </w:pPr>
            <w:r>
              <w:rPr>
                <w:b/>
                <w:color w:val="FFFFFF"/>
                <w:sz w:val="18"/>
              </w:rPr>
              <w:t>Action</w:t>
            </w:r>
          </w:p>
        </w:tc>
      </w:tr>
      <w:tr>
        <w:tc>
          <w:tcPr>
            <w:tcW w:type="dxa" w:w="1008"/>
            <w:shd w:val="clear" w:color="auto" w:fill="EBF3FB"/>
          </w:tcPr>
          <w:p>
            <w:r>
              <w:rPr>
                <w:sz w:val="18"/>
              </w:rPr>
              <w:t>1</w:t>
            </w:r>
          </w:p>
        </w:tc>
        <w:tc>
          <w:tcPr>
            <w:tcW w:type="dxa" w:w="9072"/>
            <w:shd w:val="clear" w:color="auto" w:fill="EBF3FB"/>
          </w:tcPr>
          <w:p>
            <w:r>
              <w:rPr>
                <w:sz w:val="18"/>
              </w:rPr>
              <w:t>Identify the applicable policy requirement</w:t>
            </w:r>
          </w:p>
        </w:tc>
      </w:tr>
      <w:tr>
        <w:tc>
          <w:tcPr>
            <w:tcW w:type="dxa" w:w="1008"/>
            <w:shd w:val="clear" w:color="auto" w:fill="FFFFFF"/>
          </w:tcPr>
          <w:p>
            <w:r>
              <w:rPr>
                <w:sz w:val="18"/>
              </w:rPr>
              <w:t>1A</w:t>
            </w:r>
          </w:p>
        </w:tc>
        <w:tc>
          <w:tcPr>
            <w:tcW w:type="dxa" w:w="9072"/>
            <w:shd w:val="clear" w:color="auto" w:fill="FFFFFF"/>
          </w:tcPr>
          <w:p>
            <w:r>
              <w:rPr>
                <w:sz w:val="18"/>
              </w:rPr>
              <w:t>Cross-check against the 12 Named Risk Scenario Catalog</w:t>
            </w:r>
          </w:p>
        </w:tc>
      </w:tr>
      <w:tr>
        <w:tc>
          <w:tcPr>
            <w:tcW w:type="dxa" w:w="1008"/>
            <w:shd w:val="clear" w:color="auto" w:fill="EBF3FB"/>
          </w:tcPr>
          <w:p>
            <w:r>
              <w:rPr>
                <w:sz w:val="18"/>
              </w:rPr>
              <w:t>2</w:t>
            </w:r>
          </w:p>
        </w:tc>
        <w:tc>
          <w:tcPr>
            <w:tcW w:type="dxa" w:w="9072"/>
            <w:shd w:val="clear" w:color="auto" w:fill="EBF3FB"/>
          </w:tcPr>
          <w:p>
            <w:r>
              <w:rPr>
                <w:sz w:val="18"/>
              </w:rPr>
              <w:t>Determine if the question is risk-based (vs. background/role information)</w:t>
            </w:r>
          </w:p>
        </w:tc>
      </w:tr>
      <w:tr>
        <w:tc>
          <w:tcPr>
            <w:tcW w:type="dxa" w:w="1008"/>
            <w:shd w:val="clear" w:color="auto" w:fill="FFFFFF"/>
          </w:tcPr>
          <w:p>
            <w:r>
              <w:rPr>
                <w:sz w:val="18"/>
              </w:rPr>
              <w:t>3</w:t>
            </w:r>
          </w:p>
        </w:tc>
        <w:tc>
          <w:tcPr>
            <w:tcW w:type="dxa" w:w="9072"/>
            <w:shd w:val="clear" w:color="auto" w:fill="FFFFFF"/>
          </w:tcPr>
          <w:p>
            <w:r>
              <w:rPr>
                <w:sz w:val="18"/>
              </w:rPr>
              <w:t>Classify the response: Meaningful / Generic / Blank</w:t>
            </w:r>
          </w:p>
        </w:tc>
      </w:tr>
      <w:tr>
        <w:tc>
          <w:tcPr>
            <w:tcW w:type="dxa" w:w="1008"/>
            <w:shd w:val="clear" w:color="auto" w:fill="EBF3FB"/>
          </w:tcPr>
          <w:p>
            <w:r>
              <w:rPr>
                <w:sz w:val="18"/>
              </w:rPr>
              <w:t>4</w:t>
            </w:r>
          </w:p>
        </w:tc>
        <w:tc>
          <w:tcPr>
            <w:tcW w:type="dxa" w:w="9072"/>
            <w:shd w:val="clear" w:color="auto" w:fill="EBF3FB"/>
          </w:tcPr>
          <w:p>
            <w:r>
              <w:rPr>
                <w:sz w:val="18"/>
              </w:rPr>
              <w:t>Evaluate "No" responses (not auto-flagged as risk)</w:t>
            </w:r>
          </w:p>
        </w:tc>
      </w:tr>
      <w:tr>
        <w:tc>
          <w:tcPr>
            <w:tcW w:type="dxa" w:w="1008"/>
            <w:shd w:val="clear" w:color="auto" w:fill="FFFFFF"/>
          </w:tcPr>
          <w:p>
            <w:r>
              <w:rPr>
                <w:sz w:val="18"/>
              </w:rPr>
              <w:t>5</w:t>
            </w:r>
          </w:p>
        </w:tc>
        <w:tc>
          <w:tcPr>
            <w:tcW w:type="dxa" w:w="9072"/>
            <w:shd w:val="clear" w:color="auto" w:fill="FFFFFF"/>
          </w:tcPr>
          <w:p>
            <w:r>
              <w:rPr>
                <w:sz w:val="18"/>
              </w:rPr>
              <w:t>Review supporting evidence and classify relationship to response</w:t>
            </w:r>
          </w:p>
        </w:tc>
      </w:tr>
      <w:tr>
        <w:tc>
          <w:tcPr>
            <w:tcW w:type="dxa" w:w="1008"/>
            <w:shd w:val="clear" w:color="auto" w:fill="EBF3FB"/>
          </w:tcPr>
          <w:p>
            <w:r>
              <w:rPr>
                <w:sz w:val="18"/>
              </w:rPr>
              <w:t>6</w:t>
            </w:r>
          </w:p>
        </w:tc>
        <w:tc>
          <w:tcPr>
            <w:tcW w:type="dxa" w:w="9072"/>
            <w:shd w:val="clear" w:color="auto" w:fill="EBF3FB"/>
          </w:tcPr>
          <w:p>
            <w:r>
              <w:rPr>
                <w:sz w:val="18"/>
              </w:rPr>
              <w:t>Identify the exact evidence gap (not vague language)</w:t>
            </w:r>
          </w:p>
        </w:tc>
      </w:tr>
      <w:tr>
        <w:tc>
          <w:tcPr>
            <w:tcW w:type="dxa" w:w="1008"/>
            <w:shd w:val="clear" w:color="auto" w:fill="FFFFFF"/>
          </w:tcPr>
          <w:p>
            <w:r>
              <w:rPr>
                <w:sz w:val="18"/>
              </w:rPr>
              <w:t>7</w:t>
            </w:r>
          </w:p>
        </w:tc>
        <w:tc>
          <w:tcPr>
            <w:tcW w:type="dxa" w:w="9072"/>
            <w:shd w:val="clear" w:color="auto" w:fill="FFFFFF"/>
          </w:tcPr>
          <w:p>
            <w:r>
              <w:rPr>
                <w:sz w:val="18"/>
              </w:rPr>
              <w:t>Test for non-compliance (all 3 conditions must be met)</w:t>
            </w:r>
          </w:p>
        </w:tc>
      </w:tr>
      <w:tr>
        <w:tc>
          <w:tcPr>
            <w:tcW w:type="dxa" w:w="1008"/>
            <w:shd w:val="clear" w:color="auto" w:fill="EBF3FB"/>
          </w:tcPr>
          <w:p>
            <w:r>
              <w:rPr>
                <w:sz w:val="18"/>
              </w:rPr>
              <w:t>8</w:t>
            </w:r>
          </w:p>
        </w:tc>
        <w:tc>
          <w:tcPr>
            <w:tcW w:type="dxa" w:w="9072"/>
            <w:shd w:val="clear" w:color="auto" w:fill="EBF3FB"/>
          </w:tcPr>
          <w:p>
            <w:r>
              <w:rPr>
                <w:sz w:val="18"/>
              </w:rPr>
              <w:t>Avoid unsupported assumptions</w:t>
            </w:r>
          </w:p>
        </w:tc>
      </w:tr>
      <w:tr>
        <w:tc>
          <w:tcPr>
            <w:tcW w:type="dxa" w:w="1008"/>
            <w:shd w:val="clear" w:color="auto" w:fill="FFFFFF"/>
          </w:tcPr>
          <w:p>
            <w:r>
              <w:rPr>
                <w:sz w:val="18"/>
              </w:rPr>
              <w:t>9</w:t>
            </w:r>
          </w:p>
        </w:tc>
        <w:tc>
          <w:tcPr>
            <w:tcW w:type="dxa" w:w="9072"/>
            <w:shd w:val="clear" w:color="auto" w:fill="FFFFFF"/>
          </w:tcPr>
          <w:p>
            <w:r>
              <w:rPr>
                <w:sz w:val="18"/>
              </w:rPr>
              <w:t>Assign Risk Type</w:t>
            </w:r>
          </w:p>
        </w:tc>
      </w:tr>
      <w:tr>
        <w:tc>
          <w:tcPr>
            <w:tcW w:type="dxa" w:w="1008"/>
            <w:shd w:val="clear" w:color="auto" w:fill="EBF3FB"/>
          </w:tcPr>
          <w:p>
            <w:r>
              <w:rPr>
                <w:sz w:val="18"/>
              </w:rPr>
              <w:t>10</w:t>
            </w:r>
          </w:p>
        </w:tc>
        <w:tc>
          <w:tcPr>
            <w:tcW w:type="dxa" w:w="9072"/>
            <w:shd w:val="clear" w:color="auto" w:fill="EBF3FB"/>
          </w:tcPr>
          <w:p>
            <w:r>
              <w:rPr>
                <w:sz w:val="18"/>
              </w:rPr>
              <w:t>Assign Risk Score</w:t>
            </w:r>
          </w:p>
        </w:tc>
      </w:tr>
      <w:tr>
        <w:tc>
          <w:tcPr>
            <w:tcW w:type="dxa" w:w="1008"/>
            <w:shd w:val="clear" w:color="auto" w:fill="FFFFFF"/>
          </w:tcPr>
          <w:p>
            <w:r>
              <w:rPr>
                <w:sz w:val="18"/>
              </w:rPr>
              <w:t>11</w:t>
            </w:r>
          </w:p>
        </w:tc>
        <w:tc>
          <w:tcPr>
            <w:tcW w:type="dxa" w:w="9072"/>
            <w:shd w:val="clear" w:color="auto" w:fill="FFFFFF"/>
          </w:tcPr>
          <w:p>
            <w:r>
              <w:rPr>
                <w:sz w:val="18"/>
              </w:rPr>
              <w:t>Prepare the 7 output columns</w:t>
            </w:r>
          </w:p>
        </w:tc>
      </w:tr>
    </w:tbl>
    <w:p/>
    <w:p>
      <w:pPr>
        <w:pStyle w:val="Heading1"/>
      </w:pPr>
      <w:r>
        <w:rPr>
          <w:color w:val="1F457A"/>
        </w:rPr>
        <w:t>5. Risk Classification Framework</w:t>
      </w:r>
    </w:p>
    <w:p>
      <w:pPr>
        <w:pStyle w:val="Heading2"/>
      </w:pPr>
      <w:r>
        <w:rPr>
          <w:color w:val="2E74B5"/>
        </w:rPr>
        <w:t>5.1 Three-Tier Risk Type</w:t>
      </w:r>
    </w:p>
    <w:tbl>
      <w:tblPr>
        <w:tblStyle w:val="TableGrid"/>
        <w:tblW w:type="auto" w:w="0"/>
        <w:tblLook w:firstColumn="1" w:firstRow="1" w:lastColumn="0" w:lastRow="0" w:noHBand="0" w:noVBand="1" w:val="04A0"/>
      </w:tblPr>
      <w:tblGrid>
        <w:gridCol w:w="4703"/>
        <w:gridCol w:w="4703"/>
      </w:tblGrid>
      <w:tr>
        <w:tc>
          <w:tcPr>
            <w:tcW w:type="dxa" w:w="2880"/>
            <w:shd w:val="clear" w:color="auto" w:fill="1F457A"/>
          </w:tcPr>
          <w:p>
            <w:pPr>
              <w:jc w:val="center"/>
            </w:pPr>
            <w:r>
              <w:rPr>
                <w:b/>
                <w:color w:val="FFFFFF"/>
                <w:sz w:val="18"/>
              </w:rPr>
              <w:t>Risk Type</w:t>
            </w:r>
          </w:p>
        </w:tc>
        <w:tc>
          <w:tcPr>
            <w:tcW w:type="dxa" w:w="7200"/>
            <w:shd w:val="clear" w:color="auto" w:fill="1F457A"/>
          </w:tcPr>
          <w:p>
            <w:pPr>
              <w:jc w:val="center"/>
            </w:pPr>
            <w:r>
              <w:rPr>
                <w:b/>
                <w:color w:val="FFFFFF"/>
                <w:sz w:val="18"/>
              </w:rPr>
              <w:t>Conditions for Use</w:t>
            </w:r>
          </w:p>
        </w:tc>
      </w:tr>
      <w:tr>
        <w:tc>
          <w:tcPr>
            <w:tcW w:type="dxa" w:w="2880"/>
            <w:shd w:val="clear" w:color="auto" w:fill="EBF3FB"/>
          </w:tcPr>
          <w:p>
            <w:r>
              <w:rPr>
                <w:sz w:val="18"/>
              </w:rPr>
              <w:t>Potential Risk</w:t>
            </w:r>
          </w:p>
        </w:tc>
        <w:tc>
          <w:tcPr>
            <w:tcW w:type="dxa" w:w="7200"/>
            <w:shd w:val="clear" w:color="auto" w:fill="EBF3FB"/>
          </w:tcPr>
          <w:p>
            <w:r>
              <w:rPr>
                <w:sz w:val="18"/>
              </w:rPr>
              <w:t>(1) Specific policy requirement exists AND (2) Relevant response/evidence exists AND (3) Evidence clearly demonstrates deviation from requirement</w:t>
            </w:r>
          </w:p>
        </w:tc>
      </w:tr>
      <w:tr>
        <w:tc>
          <w:tcPr>
            <w:tcW w:type="dxa" w:w="2880"/>
            <w:shd w:val="clear" w:color="auto" w:fill="FFFFFF"/>
          </w:tcPr>
          <w:p>
            <w:r>
              <w:rPr>
                <w:sz w:val="18"/>
              </w:rPr>
              <w:t>Further Review Required</w:t>
            </w:r>
          </w:p>
        </w:tc>
        <w:tc>
          <w:tcPr>
            <w:tcW w:type="dxa" w:w="7200"/>
            <w:shd w:val="clear" w:color="auto" w:fill="FFFFFF"/>
          </w:tcPr>
          <w:p>
            <w:r>
              <w:rPr>
                <w:sz w:val="18"/>
              </w:rPr>
              <w:t>Applicable requirement exists + credible specific risk indicator exists, BUT evidence is insufficient to confirm or rule out non-compliance</w:t>
            </w:r>
          </w:p>
        </w:tc>
      </w:tr>
      <w:tr>
        <w:tc>
          <w:tcPr>
            <w:tcW w:type="dxa" w:w="2880"/>
            <w:shd w:val="clear" w:color="auto" w:fill="EBF3FB"/>
          </w:tcPr>
          <w:p>
            <w:r>
              <w:rPr>
                <w:sz w:val="18"/>
              </w:rPr>
              <w:t>No Risk Identified</w:t>
            </w:r>
          </w:p>
        </w:tc>
        <w:tc>
          <w:tcPr>
            <w:tcW w:type="dxa" w:w="7200"/>
            <w:shd w:val="clear" w:color="auto" w:fill="EBF3FB"/>
          </w:tcPr>
          <w:p>
            <w:r>
              <w:rPr>
                <w:sz w:val="18"/>
              </w:rPr>
              <w:t>Evidence consistent with requirement; OR no applicable requirement identified; OR question concerns only background/role/organizational information</w:t>
            </w:r>
          </w:p>
        </w:tc>
      </w:tr>
    </w:tbl>
    <w:p/>
    <w:p>
      <w:pPr>
        <w:pStyle w:val="Heading2"/>
      </w:pPr>
      <w:r>
        <w:rPr>
          <w:color w:val="2E74B5"/>
        </w:rPr>
        <w:t>5.2 Risk Score (1–10 Scale)</w:t>
      </w:r>
    </w:p>
    <w:tbl>
      <w:tblPr>
        <w:tblStyle w:val="TableGrid"/>
        <w:tblW w:type="auto" w:w="0"/>
        <w:tblLook w:firstColumn="1" w:firstRow="1" w:lastColumn="0" w:lastRow="0" w:noHBand="0" w:noVBand="1" w:val="04A0"/>
      </w:tblPr>
      <w:tblGrid>
        <w:gridCol w:w="2351"/>
        <w:gridCol w:w="2351"/>
        <w:gridCol w:w="2351"/>
        <w:gridCol w:w="2351"/>
      </w:tblGrid>
      <w:tr>
        <w:tc>
          <w:tcPr>
            <w:tcW w:type="dxa" w:w="1440"/>
            <w:shd w:val="clear" w:color="auto" w:fill="1F457A"/>
          </w:tcPr>
          <w:p>
            <w:pPr>
              <w:jc w:val="center"/>
            </w:pPr>
            <w:r>
              <w:rPr>
                <w:b/>
                <w:color w:val="FFFFFF"/>
                <w:sz w:val="18"/>
              </w:rPr>
              <w:t>Score Band</w:t>
            </w:r>
          </w:p>
        </w:tc>
        <w:tc>
          <w:tcPr>
            <w:tcW w:type="dxa" w:w="1296"/>
            <w:shd w:val="clear" w:color="auto" w:fill="1F457A"/>
          </w:tcPr>
          <w:p>
            <w:pPr>
              <w:jc w:val="center"/>
            </w:pPr>
            <w:r>
              <w:rPr>
                <w:b/>
                <w:color w:val="FFFFFF"/>
                <w:sz w:val="18"/>
              </w:rPr>
              <w:t>Label</w:t>
            </w:r>
          </w:p>
        </w:tc>
        <w:tc>
          <w:tcPr>
            <w:tcW w:type="dxa" w:w="2880"/>
            <w:shd w:val="clear" w:color="auto" w:fill="1F457A"/>
          </w:tcPr>
          <w:p>
            <w:pPr>
              <w:jc w:val="center"/>
            </w:pPr>
            <w:r>
              <w:rPr>
                <w:b/>
                <w:color w:val="FFFFFF"/>
                <w:sz w:val="18"/>
              </w:rPr>
              <w:t>Risk Type</w:t>
            </w:r>
          </w:p>
        </w:tc>
        <w:tc>
          <w:tcPr>
            <w:tcW w:type="dxa" w:w="4464"/>
            <w:shd w:val="clear" w:color="auto" w:fill="1F457A"/>
          </w:tcPr>
          <w:p>
            <w:pPr>
              <w:jc w:val="center"/>
            </w:pPr>
            <w:r>
              <w:rPr>
                <w:b/>
                <w:color w:val="FFFFFF"/>
                <w:sz w:val="18"/>
              </w:rPr>
              <w:t>Conditions</w:t>
            </w:r>
          </w:p>
        </w:tc>
      </w:tr>
      <w:tr>
        <w:tc>
          <w:tcPr>
            <w:tcW w:type="dxa" w:w="1440"/>
            <w:shd w:val="clear" w:color="auto" w:fill="EBF3FB"/>
          </w:tcPr>
          <w:p>
            <w:r>
              <w:rPr>
                <w:sz w:val="18"/>
              </w:rPr>
              <w:t>8–10</w:t>
            </w:r>
          </w:p>
        </w:tc>
        <w:tc>
          <w:tcPr>
            <w:tcW w:type="dxa" w:w="1296"/>
            <w:shd w:val="clear" w:color="auto" w:fill="EBF3FB"/>
          </w:tcPr>
          <w:p>
            <w:r>
              <w:rPr>
                <w:sz w:val="18"/>
              </w:rPr>
              <w:t>High</w:t>
            </w:r>
          </w:p>
        </w:tc>
        <w:tc>
          <w:tcPr>
            <w:tcW w:type="dxa" w:w="2880"/>
            <w:shd w:val="clear" w:color="auto" w:fill="EBF3FB"/>
          </w:tcPr>
          <w:p>
            <w:r>
              <w:rPr>
                <w:sz w:val="18"/>
              </w:rPr>
              <w:t>Potential Risk</w:t>
            </w:r>
          </w:p>
        </w:tc>
        <w:tc>
          <w:tcPr>
            <w:tcW w:type="dxa" w:w="4464"/>
            <w:shd w:val="clear" w:color="auto" w:fill="EBF3FB"/>
          </w:tcPr>
          <w:p>
            <w:r>
              <w:rPr>
                <w:sz w:val="18"/>
              </w:rPr>
              <w:t>Mandatory policy requirement clearly violated; deviation supported by explicit evidence; significant control failure demonstrated</w:t>
            </w:r>
          </w:p>
        </w:tc>
      </w:tr>
      <w:tr>
        <w:tc>
          <w:tcPr>
            <w:tcW w:type="dxa" w:w="1440"/>
            <w:shd w:val="clear" w:color="auto" w:fill="FFFFFF"/>
          </w:tcPr>
          <w:p>
            <w:r>
              <w:rPr>
                <w:sz w:val="18"/>
              </w:rPr>
              <w:t>5–7</w:t>
            </w:r>
          </w:p>
        </w:tc>
        <w:tc>
          <w:tcPr>
            <w:tcW w:type="dxa" w:w="1296"/>
            <w:shd w:val="clear" w:color="auto" w:fill="FFFFFF"/>
          </w:tcPr>
          <w:p>
            <w:r>
              <w:rPr>
                <w:sz w:val="18"/>
              </w:rPr>
              <w:t>Medium</w:t>
            </w:r>
          </w:p>
        </w:tc>
        <w:tc>
          <w:tcPr>
            <w:tcW w:type="dxa" w:w="2880"/>
            <w:shd w:val="clear" w:color="auto" w:fill="FFFFFF"/>
          </w:tcPr>
          <w:p>
            <w:r>
              <w:rPr>
                <w:sz w:val="18"/>
              </w:rPr>
              <w:t>Potential Risk or Further Review Required</w:t>
            </w:r>
          </w:p>
        </w:tc>
        <w:tc>
          <w:tcPr>
            <w:tcW w:type="dxa" w:w="4464"/>
            <w:shd w:val="clear" w:color="auto" w:fill="FFFFFF"/>
          </w:tcPr>
          <w:p>
            <w:r>
              <w:rPr>
                <w:sz w:val="18"/>
              </w:rPr>
              <w:t>Policy deviation demonstrated (no significant control failure) OR credible material risk indicator requiring further review</w:t>
            </w:r>
          </w:p>
        </w:tc>
      </w:tr>
      <w:tr>
        <w:tc>
          <w:tcPr>
            <w:tcW w:type="dxa" w:w="1440"/>
            <w:shd w:val="clear" w:color="auto" w:fill="EBF3FB"/>
          </w:tcPr>
          <w:p>
            <w:r>
              <w:rPr>
                <w:sz w:val="18"/>
              </w:rPr>
              <w:t>3–5</w:t>
            </w:r>
          </w:p>
        </w:tc>
        <w:tc>
          <w:tcPr>
            <w:tcW w:type="dxa" w:w="1296"/>
            <w:shd w:val="clear" w:color="auto" w:fill="EBF3FB"/>
          </w:tcPr>
          <w:p>
            <w:r>
              <w:rPr>
                <w:sz w:val="18"/>
              </w:rPr>
              <w:t>Low</w:t>
            </w:r>
          </w:p>
        </w:tc>
        <w:tc>
          <w:tcPr>
            <w:tcW w:type="dxa" w:w="2880"/>
            <w:shd w:val="clear" w:color="auto" w:fill="EBF3FB"/>
          </w:tcPr>
          <w:p>
            <w:r>
              <w:rPr>
                <w:sz w:val="18"/>
              </w:rPr>
              <w:t>Further Review Required</w:t>
            </w:r>
          </w:p>
        </w:tc>
        <w:tc>
          <w:tcPr>
            <w:tcW w:type="dxa" w:w="4464"/>
            <w:shd w:val="clear" w:color="auto" w:fill="EBF3FB"/>
          </w:tcPr>
          <w:p>
            <w:r>
              <w:rPr>
                <w:sz w:val="18"/>
              </w:rPr>
              <w:t>Specific but limited unresolved issue; OR evidence partially supports response but policy-relevant element unverified</w:t>
            </w:r>
          </w:p>
        </w:tc>
      </w:tr>
      <w:tr>
        <w:tc>
          <w:tcPr>
            <w:tcW w:type="dxa" w:w="1440"/>
            <w:shd w:val="clear" w:color="auto" w:fill="FFFFFF"/>
          </w:tcPr>
          <w:p>
            <w:r>
              <w:rPr>
                <w:sz w:val="18"/>
              </w:rPr>
              <w:t>1–2</w:t>
            </w:r>
          </w:p>
        </w:tc>
        <w:tc>
          <w:tcPr>
            <w:tcW w:type="dxa" w:w="1296"/>
            <w:shd w:val="clear" w:color="auto" w:fill="FFFFFF"/>
          </w:tcPr>
          <w:p>
            <w:r>
              <w:rPr>
                <w:sz w:val="18"/>
              </w:rPr>
              <w:t>No Risk</w:t>
            </w:r>
          </w:p>
        </w:tc>
        <w:tc>
          <w:tcPr>
            <w:tcW w:type="dxa" w:w="2880"/>
            <w:shd w:val="clear" w:color="auto" w:fill="FFFFFF"/>
          </w:tcPr>
          <w:p>
            <w:r>
              <w:rPr>
                <w:sz w:val="18"/>
              </w:rPr>
              <w:t>No Risk Identified</w:t>
            </w:r>
          </w:p>
        </w:tc>
        <w:tc>
          <w:tcPr>
            <w:tcW w:type="dxa" w:w="4464"/>
            <w:shd w:val="clear" w:color="auto" w:fill="FFFFFF"/>
          </w:tcPr>
          <w:p>
            <w:r>
              <w:rPr>
                <w:sz w:val="18"/>
              </w:rPr>
              <w:t>No applicable requirement or no risk indicator</w:t>
            </w:r>
          </w:p>
        </w:tc>
      </w:tr>
    </w:tbl>
    <w:p/>
    <w:p>
      <w:r>
        <w:rPr>
          <w:b/>
          <w:i w:val="0"/>
        </w:rPr>
        <w:t xml:space="preserve">Consistency rule: </w:t>
      </w:r>
      <w:r>
        <w:t>Risk Type and Risk Score must be consistent — Potential Risk → Score 5–10 | Further Review Required → Score 3–6 | No Risk Identified → Score 1–2</w:t>
      </w:r>
    </w:p>
    <w:p>
      <w:pPr>
        <w:pStyle w:val="Heading2"/>
      </w:pPr>
      <w:r>
        <w:rPr>
          <w:color w:val="2E74B5"/>
        </w:rPr>
        <w:t>5.3 Evidence Classification (A–E)</w:t>
      </w:r>
    </w:p>
    <w:tbl>
      <w:tblPr>
        <w:tblStyle w:val="TableGrid"/>
        <w:tblW w:type="auto" w:w="0"/>
        <w:tblLook w:firstColumn="1" w:firstRow="1" w:lastColumn="0" w:lastRow="0" w:noHBand="0" w:noVBand="1" w:val="04A0"/>
      </w:tblPr>
      <w:tblGrid>
        <w:gridCol w:w="4703"/>
        <w:gridCol w:w="4703"/>
      </w:tblGrid>
      <w:tr>
        <w:tc>
          <w:tcPr>
            <w:tcW w:type="dxa" w:w="1008"/>
            <w:shd w:val="clear" w:color="auto" w:fill="1F457A"/>
          </w:tcPr>
          <w:p>
            <w:pPr>
              <w:jc w:val="center"/>
            </w:pPr>
            <w:r>
              <w:rPr>
                <w:b/>
                <w:color w:val="FFFFFF"/>
                <w:sz w:val="18"/>
              </w:rPr>
              <w:t>Class</w:t>
            </w:r>
          </w:p>
        </w:tc>
        <w:tc>
          <w:tcPr>
            <w:tcW w:type="dxa" w:w="9072"/>
            <w:shd w:val="clear" w:color="auto" w:fill="1F457A"/>
          </w:tcPr>
          <w:p>
            <w:pPr>
              <w:jc w:val="center"/>
            </w:pPr>
            <w:r>
              <w:rPr>
                <w:b/>
                <w:color w:val="FFFFFF"/>
                <w:sz w:val="18"/>
              </w:rPr>
              <w:t>Meaning</w:t>
            </w:r>
          </w:p>
        </w:tc>
      </w:tr>
      <w:tr>
        <w:tc>
          <w:tcPr>
            <w:tcW w:type="dxa" w:w="1008"/>
            <w:shd w:val="clear" w:color="auto" w:fill="EBF3FB"/>
          </w:tcPr>
          <w:p>
            <w:r>
              <w:rPr>
                <w:sz w:val="18"/>
              </w:rPr>
              <w:t>A</w:t>
            </w:r>
          </w:p>
        </w:tc>
        <w:tc>
          <w:tcPr>
            <w:tcW w:type="dxa" w:w="9072"/>
            <w:shd w:val="clear" w:color="auto" w:fill="EBF3FB"/>
          </w:tcPr>
          <w:p>
            <w:r>
              <w:rPr>
                <w:sz w:val="18"/>
              </w:rPr>
              <w:t>Directly cited in auditor response</w:t>
            </w:r>
          </w:p>
        </w:tc>
      </w:tr>
      <w:tr>
        <w:tc>
          <w:tcPr>
            <w:tcW w:type="dxa" w:w="1008"/>
            <w:shd w:val="clear" w:color="auto" w:fill="FFFFFF"/>
          </w:tcPr>
          <w:p>
            <w:r>
              <w:rPr>
                <w:sz w:val="18"/>
              </w:rPr>
              <w:t>B</w:t>
            </w:r>
          </w:p>
        </w:tc>
        <w:tc>
          <w:tcPr>
            <w:tcW w:type="dxa" w:w="9072"/>
            <w:shd w:val="clear" w:color="auto" w:fill="FFFFFF"/>
          </w:tcPr>
          <w:p>
            <w:r>
              <w:rPr>
                <w:sz w:val="18"/>
              </w:rPr>
              <w:t>Corroborating evidence</w:t>
            </w:r>
          </w:p>
        </w:tc>
      </w:tr>
      <w:tr>
        <w:tc>
          <w:tcPr>
            <w:tcW w:type="dxa" w:w="1008"/>
            <w:shd w:val="clear" w:color="auto" w:fill="EBF3FB"/>
          </w:tcPr>
          <w:p>
            <w:r>
              <w:rPr>
                <w:sz w:val="18"/>
              </w:rPr>
              <w:t>C</w:t>
            </w:r>
          </w:p>
        </w:tc>
        <w:tc>
          <w:tcPr>
            <w:tcW w:type="dxa" w:w="9072"/>
            <w:shd w:val="clear" w:color="auto" w:fill="EBF3FB"/>
          </w:tcPr>
          <w:p>
            <w:r>
              <w:rPr>
                <w:sz w:val="18"/>
              </w:rPr>
              <w:t>Tangentially related</w:t>
            </w:r>
          </w:p>
        </w:tc>
      </w:tr>
      <w:tr>
        <w:tc>
          <w:tcPr>
            <w:tcW w:type="dxa" w:w="1008"/>
            <w:shd w:val="clear" w:color="auto" w:fill="FFFFFF"/>
          </w:tcPr>
          <w:p>
            <w:r>
              <w:rPr>
                <w:sz w:val="18"/>
              </w:rPr>
              <w:t>D</w:t>
            </w:r>
          </w:p>
        </w:tc>
        <w:tc>
          <w:tcPr>
            <w:tcW w:type="dxa" w:w="9072"/>
            <w:shd w:val="clear" w:color="auto" w:fill="FFFFFF"/>
          </w:tcPr>
          <w:p>
            <w:r>
              <w:rPr>
                <w:sz w:val="18"/>
              </w:rPr>
              <w:t>Contradicting evidence</w:t>
            </w:r>
          </w:p>
        </w:tc>
      </w:tr>
      <w:tr>
        <w:tc>
          <w:tcPr>
            <w:tcW w:type="dxa" w:w="1008"/>
            <w:shd w:val="clear" w:color="auto" w:fill="EBF3FB"/>
          </w:tcPr>
          <w:p>
            <w:r>
              <w:rPr>
                <w:sz w:val="18"/>
              </w:rPr>
              <w:t>E</w:t>
            </w:r>
          </w:p>
        </w:tc>
        <w:tc>
          <w:tcPr>
            <w:tcW w:type="dxa" w:w="9072"/>
            <w:shd w:val="clear" w:color="auto" w:fill="EBF3FB"/>
          </w:tcPr>
          <w:p>
            <w:r>
              <w:rPr>
                <w:sz w:val="18"/>
              </w:rPr>
              <w:t>No relevant evidence found</w:t>
            </w:r>
          </w:p>
        </w:tc>
      </w:tr>
    </w:tbl>
    <w:p/>
    <w:p>
      <w:pPr>
        <w:pStyle w:val="Heading2"/>
      </w:pPr>
      <w:r>
        <w:rPr>
          <w:color w:val="2E74B5"/>
        </w:rPr>
        <w:t>5.4 Evidence Relationship to Response</w:t>
      </w:r>
    </w:p>
    <w:tbl>
      <w:tblPr>
        <w:tblStyle w:val="TableGrid"/>
        <w:tblW w:type="auto" w:w="0"/>
        <w:tblLook w:firstColumn="1" w:firstRow="1" w:lastColumn="0" w:lastRow="0" w:noHBand="0" w:noVBand="1" w:val="04A0"/>
      </w:tblPr>
      <w:tblGrid>
        <w:gridCol w:w="4703"/>
        <w:gridCol w:w="4703"/>
      </w:tblGrid>
      <w:tr>
        <w:tc>
          <w:tcPr>
            <w:tcW w:type="dxa" w:w="2880"/>
            <w:shd w:val="clear" w:color="auto" w:fill="1F457A"/>
          </w:tcPr>
          <w:p>
            <w:pPr>
              <w:jc w:val="center"/>
            </w:pPr>
            <w:r>
              <w:rPr>
                <w:b/>
                <w:color w:val="FFFFFF"/>
                <w:sz w:val="18"/>
              </w:rPr>
              <w:t>Classification</w:t>
            </w:r>
          </w:p>
        </w:tc>
        <w:tc>
          <w:tcPr>
            <w:tcW w:type="dxa" w:w="7200"/>
            <w:shd w:val="clear" w:color="auto" w:fill="1F457A"/>
          </w:tcPr>
          <w:p>
            <w:pPr>
              <w:jc w:val="center"/>
            </w:pPr>
            <w:r>
              <w:rPr>
                <w:b/>
                <w:color w:val="FFFFFF"/>
                <w:sz w:val="18"/>
              </w:rPr>
              <w:t>Meaning</w:t>
            </w:r>
          </w:p>
        </w:tc>
      </w:tr>
      <w:tr>
        <w:tc>
          <w:tcPr>
            <w:tcW w:type="dxa" w:w="2880"/>
            <w:shd w:val="clear" w:color="auto" w:fill="EBF3FB"/>
          </w:tcPr>
          <w:p>
            <w:r>
              <w:rPr>
                <w:sz w:val="18"/>
              </w:rPr>
              <w:t>Supports</w:t>
            </w:r>
          </w:p>
        </w:tc>
        <w:tc>
          <w:tcPr>
            <w:tcW w:type="dxa" w:w="7200"/>
            <w:shd w:val="clear" w:color="auto" w:fill="EBF3FB"/>
          </w:tcPr>
          <w:p>
            <w:r>
              <w:rPr>
                <w:sz w:val="18"/>
              </w:rPr>
              <w:t>Confirms all material elements of the response</w:t>
            </w:r>
          </w:p>
        </w:tc>
      </w:tr>
      <w:tr>
        <w:tc>
          <w:tcPr>
            <w:tcW w:type="dxa" w:w="2880"/>
            <w:shd w:val="clear" w:color="auto" w:fill="FFFFFF"/>
          </w:tcPr>
          <w:p>
            <w:r>
              <w:rPr>
                <w:sz w:val="18"/>
              </w:rPr>
              <w:t>Partially Supports</w:t>
            </w:r>
          </w:p>
        </w:tc>
        <w:tc>
          <w:tcPr>
            <w:tcW w:type="dxa" w:w="7200"/>
            <w:shd w:val="clear" w:color="auto" w:fill="FFFFFF"/>
          </w:tcPr>
          <w:p>
            <w:r>
              <w:rPr>
                <w:sz w:val="18"/>
              </w:rPr>
              <w:t>Confirms some elements; one or more policy-relevant elements cannot be verified</w:t>
            </w:r>
          </w:p>
        </w:tc>
      </w:tr>
      <w:tr>
        <w:tc>
          <w:tcPr>
            <w:tcW w:type="dxa" w:w="2880"/>
            <w:shd w:val="clear" w:color="auto" w:fill="EBF3FB"/>
          </w:tcPr>
          <w:p>
            <w:r>
              <w:rPr>
                <w:sz w:val="18"/>
              </w:rPr>
              <w:t>Contradicts</w:t>
            </w:r>
          </w:p>
        </w:tc>
        <w:tc>
          <w:tcPr>
            <w:tcW w:type="dxa" w:w="7200"/>
            <w:shd w:val="clear" w:color="auto" w:fill="EBF3FB"/>
          </w:tcPr>
          <w:p>
            <w:r>
              <w:rPr>
                <w:sz w:val="18"/>
              </w:rPr>
              <w:t>Directly conflicts with the response or demonstrates a policy deviation</w:t>
            </w:r>
          </w:p>
        </w:tc>
      </w:tr>
      <w:tr>
        <w:tc>
          <w:tcPr>
            <w:tcW w:type="dxa" w:w="2880"/>
            <w:shd w:val="clear" w:color="auto" w:fill="FFFFFF"/>
          </w:tcPr>
          <w:p>
            <w:r>
              <w:rPr>
                <w:sz w:val="18"/>
              </w:rPr>
              <w:t>Insufficient to Test</w:t>
            </w:r>
          </w:p>
        </w:tc>
        <w:tc>
          <w:tcPr>
            <w:tcW w:type="dxa" w:w="7200"/>
            <w:shd w:val="clear" w:color="auto" w:fill="FFFFFF"/>
          </w:tcPr>
          <w:p>
            <w:r>
              <w:rPr>
                <w:sz w:val="18"/>
              </w:rPr>
              <w:t>Evidence provided but cannot verify the response or control requirement</w:t>
            </w:r>
          </w:p>
        </w:tc>
      </w:tr>
      <w:tr>
        <w:tc>
          <w:tcPr>
            <w:tcW w:type="dxa" w:w="2880"/>
            <w:shd w:val="clear" w:color="auto" w:fill="EBF3FB"/>
          </w:tcPr>
          <w:p>
            <w:r>
              <w:rPr>
                <w:sz w:val="18"/>
              </w:rPr>
              <w:t>Not Applicable</w:t>
            </w:r>
          </w:p>
        </w:tc>
        <w:tc>
          <w:tcPr>
            <w:tcW w:type="dxa" w:w="7200"/>
            <w:shd w:val="clear" w:color="auto" w:fill="EBF3FB"/>
          </w:tcPr>
          <w:p>
            <w:r>
              <w:rPr>
                <w:sz w:val="18"/>
              </w:rPr>
              <w:t>Supporting documentation not expected for this question</w:t>
            </w:r>
          </w:p>
        </w:tc>
      </w:tr>
    </w:tbl>
    <w:p/>
    <w:p>
      <w:pPr>
        <w:pStyle w:val="Heading1"/>
      </w:pPr>
      <w:r>
        <w:rPr>
          <w:color w:val="1F457A"/>
        </w:rPr>
        <w:t>6. Named Risk Scenario Catalog (12 Scenarios)</w:t>
      </w:r>
    </w:p>
    <w:p>
      <w:r>
        <w:t>The Risk Analyzer Agent cross-checks every response against 12 pre-defined TPI Due Diligence risk scenarios derived from the policy documents. These scenarios supplement (not replace) the general analysis.</w:t>
      </w:r>
    </w:p>
    <w:tbl>
      <w:tblPr>
        <w:tblStyle w:val="TableGrid"/>
        <w:tblW w:type="auto" w:w="0"/>
        <w:tblLook w:firstColumn="1" w:firstRow="1" w:lastColumn="0" w:lastRow="0" w:noHBand="0" w:noVBand="1" w:val="04A0"/>
      </w:tblPr>
      <w:tblGrid>
        <w:gridCol w:w="2351"/>
        <w:gridCol w:w="2351"/>
        <w:gridCol w:w="2351"/>
        <w:gridCol w:w="2351"/>
      </w:tblGrid>
      <w:tr>
        <w:tc>
          <w:tcPr>
            <w:tcW w:type="dxa" w:w="576"/>
            <w:shd w:val="clear" w:color="auto" w:fill="1F457A"/>
          </w:tcPr>
          <w:p>
            <w:pPr>
              <w:jc w:val="center"/>
            </w:pPr>
            <w:r>
              <w:rPr>
                <w:b/>
                <w:color w:val="FFFFFF"/>
                <w:sz w:val="18"/>
              </w:rPr>
              <w:t>#</w:t>
            </w:r>
          </w:p>
        </w:tc>
        <w:tc>
          <w:tcPr>
            <w:tcW w:type="dxa" w:w="4608"/>
            <w:shd w:val="clear" w:color="auto" w:fill="1F457A"/>
          </w:tcPr>
          <w:p>
            <w:pPr>
              <w:jc w:val="center"/>
            </w:pPr>
            <w:r>
              <w:rPr>
                <w:b/>
                <w:color w:val="FFFFFF"/>
                <w:sz w:val="18"/>
              </w:rPr>
              <w:t>Scenario</w:t>
            </w:r>
          </w:p>
        </w:tc>
        <w:tc>
          <w:tcPr>
            <w:tcW w:type="dxa" w:w="2016"/>
            <w:shd w:val="clear" w:color="auto" w:fill="1F457A"/>
          </w:tcPr>
          <w:p>
            <w:pPr>
              <w:jc w:val="center"/>
            </w:pPr>
            <w:r>
              <w:rPr>
                <w:b/>
                <w:color w:val="FFFFFF"/>
                <w:sz w:val="18"/>
              </w:rPr>
              <w:t>Default Risk Level</w:t>
            </w:r>
          </w:p>
        </w:tc>
        <w:tc>
          <w:tcPr>
            <w:tcW w:type="dxa" w:w="2880"/>
            <w:shd w:val="clear" w:color="auto" w:fill="1F457A"/>
          </w:tcPr>
          <w:p>
            <w:pPr>
              <w:jc w:val="center"/>
            </w:pPr>
            <w:r>
              <w:rPr>
                <w:b/>
                <w:color w:val="FFFFFF"/>
                <w:sz w:val="18"/>
              </w:rPr>
              <w:t>Primary Policy Source</w:t>
            </w:r>
          </w:p>
        </w:tc>
      </w:tr>
      <w:tr>
        <w:tc>
          <w:tcPr>
            <w:tcW w:type="dxa" w:w="576"/>
            <w:shd w:val="clear" w:color="auto" w:fill="EBF3FB"/>
          </w:tcPr>
          <w:p>
            <w:r>
              <w:rPr>
                <w:sz w:val="18"/>
              </w:rPr>
              <w:t>1</w:t>
            </w:r>
          </w:p>
        </w:tc>
        <w:tc>
          <w:tcPr>
            <w:tcW w:type="dxa" w:w="4608"/>
            <w:shd w:val="clear" w:color="auto" w:fill="EBF3FB"/>
          </w:tcPr>
          <w:p>
            <w:r>
              <w:rPr>
                <w:sz w:val="18"/>
              </w:rPr>
              <w:t>Government official relationships not identified during due diligence</w:t>
            </w:r>
          </w:p>
        </w:tc>
        <w:tc>
          <w:tcPr>
            <w:tcW w:type="dxa" w:w="2016"/>
            <w:shd w:val="clear" w:color="auto" w:fill="EBF3FB"/>
          </w:tcPr>
          <w:p>
            <w:r>
              <w:rPr>
                <w:sz w:val="18"/>
              </w:rPr>
              <w:t>High</w:t>
            </w:r>
          </w:p>
        </w:tc>
        <w:tc>
          <w:tcPr>
            <w:tcW w:type="dxa" w:w="2880"/>
            <w:shd w:val="clear" w:color="auto" w:fill="EBF3FB"/>
          </w:tcPr>
          <w:p>
            <w:r>
              <w:rPr>
                <w:sz w:val="18"/>
              </w:rPr>
              <w:t>HCBI Guide + TV-POL-02224</w:t>
            </w:r>
          </w:p>
        </w:tc>
      </w:tr>
      <w:tr>
        <w:tc>
          <w:tcPr>
            <w:tcW w:type="dxa" w:w="576"/>
            <w:shd w:val="clear" w:color="auto" w:fill="FFFFFF"/>
          </w:tcPr>
          <w:p>
            <w:r>
              <w:rPr>
                <w:sz w:val="18"/>
              </w:rPr>
              <w:t>2</w:t>
            </w:r>
          </w:p>
        </w:tc>
        <w:tc>
          <w:tcPr>
            <w:tcW w:type="dxa" w:w="4608"/>
            <w:shd w:val="clear" w:color="auto" w:fill="FFFFFF"/>
          </w:tcPr>
          <w:p>
            <w:r>
              <w:rPr>
                <w:sz w:val="18"/>
              </w:rPr>
              <w:t>Fair Market Value (FMV) assessment missing or unsupported</w:t>
            </w:r>
          </w:p>
        </w:tc>
        <w:tc>
          <w:tcPr>
            <w:tcW w:type="dxa" w:w="2016"/>
            <w:shd w:val="clear" w:color="auto" w:fill="FFFFFF"/>
          </w:tcPr>
          <w:p>
            <w:r>
              <w:rPr>
                <w:sz w:val="18"/>
              </w:rPr>
              <w:t>High</w:t>
            </w:r>
          </w:p>
        </w:tc>
        <w:tc>
          <w:tcPr>
            <w:tcW w:type="dxa" w:w="2880"/>
            <w:shd w:val="clear" w:color="auto" w:fill="FFFFFF"/>
          </w:tcPr>
          <w:p>
            <w:r>
              <w:rPr>
                <w:sz w:val="18"/>
              </w:rPr>
              <w:t>TV-GDL-02451 + HCBI Guide</w:t>
            </w:r>
          </w:p>
        </w:tc>
      </w:tr>
      <w:tr>
        <w:tc>
          <w:tcPr>
            <w:tcW w:type="dxa" w:w="576"/>
            <w:shd w:val="clear" w:color="auto" w:fill="EBF3FB"/>
          </w:tcPr>
          <w:p>
            <w:r>
              <w:rPr>
                <w:sz w:val="18"/>
              </w:rPr>
              <w:t>3</w:t>
            </w:r>
          </w:p>
        </w:tc>
        <w:tc>
          <w:tcPr>
            <w:tcW w:type="dxa" w:w="4608"/>
            <w:shd w:val="clear" w:color="auto" w:fill="EBF3FB"/>
          </w:tcPr>
          <w:p>
            <w:r>
              <w:rPr>
                <w:sz w:val="18"/>
              </w:rPr>
              <w:t>Significant red flags not resolved before approval</w:t>
            </w:r>
          </w:p>
        </w:tc>
        <w:tc>
          <w:tcPr>
            <w:tcW w:type="dxa" w:w="2016"/>
            <w:shd w:val="clear" w:color="auto" w:fill="EBF3FB"/>
          </w:tcPr>
          <w:p>
            <w:r>
              <w:rPr>
                <w:sz w:val="18"/>
              </w:rPr>
              <w:t>High</w:t>
            </w:r>
          </w:p>
        </w:tc>
        <w:tc>
          <w:tcPr>
            <w:tcW w:type="dxa" w:w="2880"/>
            <w:shd w:val="clear" w:color="auto" w:fill="EBF3FB"/>
          </w:tcPr>
          <w:p>
            <w:r>
              <w:rPr>
                <w:sz w:val="18"/>
              </w:rPr>
              <w:t>TV-GDL-02453 + HCBI Guide</w:t>
            </w:r>
          </w:p>
        </w:tc>
      </w:tr>
      <w:tr>
        <w:tc>
          <w:tcPr>
            <w:tcW w:type="dxa" w:w="576"/>
            <w:shd w:val="clear" w:color="auto" w:fill="FFFFFF"/>
          </w:tcPr>
          <w:p>
            <w:r>
              <w:rPr>
                <w:sz w:val="18"/>
              </w:rPr>
              <w:t>4</w:t>
            </w:r>
          </w:p>
        </w:tc>
        <w:tc>
          <w:tcPr>
            <w:tcW w:type="dxa" w:w="4608"/>
            <w:shd w:val="clear" w:color="auto" w:fill="FFFFFF"/>
          </w:tcPr>
          <w:p>
            <w:r>
              <w:rPr>
                <w:sz w:val="18"/>
              </w:rPr>
              <w:t>TPI incorrectly classified as out-of-scope or exempt</w:t>
            </w:r>
          </w:p>
        </w:tc>
        <w:tc>
          <w:tcPr>
            <w:tcW w:type="dxa" w:w="2016"/>
            <w:shd w:val="clear" w:color="auto" w:fill="FFFFFF"/>
          </w:tcPr>
          <w:p>
            <w:r>
              <w:rPr>
                <w:sz w:val="18"/>
              </w:rPr>
              <w:t>High</w:t>
            </w:r>
          </w:p>
        </w:tc>
        <w:tc>
          <w:tcPr>
            <w:tcW w:type="dxa" w:w="2880"/>
            <w:shd w:val="clear" w:color="auto" w:fill="FFFFFF"/>
          </w:tcPr>
          <w:p>
            <w:r>
              <w:rPr>
                <w:sz w:val="18"/>
              </w:rPr>
              <w:t>TV-POL-02224 + HCBI Guide</w:t>
            </w:r>
          </w:p>
        </w:tc>
      </w:tr>
      <w:tr>
        <w:tc>
          <w:tcPr>
            <w:tcW w:type="dxa" w:w="576"/>
            <w:shd w:val="clear" w:color="auto" w:fill="EBF3FB"/>
          </w:tcPr>
          <w:p>
            <w:r>
              <w:rPr>
                <w:sz w:val="18"/>
              </w:rPr>
              <w:t>5</w:t>
            </w:r>
          </w:p>
        </w:tc>
        <w:tc>
          <w:tcPr>
            <w:tcW w:type="dxa" w:w="4608"/>
            <w:shd w:val="clear" w:color="auto" w:fill="EBF3FB"/>
          </w:tcPr>
          <w:p>
            <w:r>
              <w:rPr>
                <w:sz w:val="18"/>
              </w:rPr>
              <w:t>Required anti-corruption training / certifications not completed</w:t>
            </w:r>
          </w:p>
        </w:tc>
        <w:tc>
          <w:tcPr>
            <w:tcW w:type="dxa" w:w="2016"/>
            <w:shd w:val="clear" w:color="auto" w:fill="EBF3FB"/>
          </w:tcPr>
          <w:p>
            <w:r>
              <w:rPr>
                <w:sz w:val="18"/>
              </w:rPr>
              <w:t>Medium–High</w:t>
            </w:r>
          </w:p>
        </w:tc>
        <w:tc>
          <w:tcPr>
            <w:tcW w:type="dxa" w:w="2880"/>
            <w:shd w:val="clear" w:color="auto" w:fill="EBF3FB"/>
          </w:tcPr>
          <w:p>
            <w:r>
              <w:rPr>
                <w:sz w:val="18"/>
              </w:rPr>
              <w:t>HCBI Guide + Training Deck</w:t>
            </w:r>
          </w:p>
        </w:tc>
      </w:tr>
      <w:tr>
        <w:tc>
          <w:tcPr>
            <w:tcW w:type="dxa" w:w="576"/>
            <w:shd w:val="clear" w:color="auto" w:fill="FFFFFF"/>
          </w:tcPr>
          <w:p>
            <w:r>
              <w:rPr>
                <w:sz w:val="18"/>
              </w:rPr>
              <w:t>6</w:t>
            </w:r>
          </w:p>
        </w:tc>
        <w:tc>
          <w:tcPr>
            <w:tcW w:type="dxa" w:w="4608"/>
            <w:shd w:val="clear" w:color="auto" w:fill="FFFFFF"/>
          </w:tcPr>
          <w:p>
            <w:r>
              <w:rPr>
                <w:sz w:val="18"/>
              </w:rPr>
              <w:t>Due diligence leverage used without meeting eligibility criteria</w:t>
            </w:r>
          </w:p>
        </w:tc>
        <w:tc>
          <w:tcPr>
            <w:tcW w:type="dxa" w:w="2016"/>
            <w:shd w:val="clear" w:color="auto" w:fill="FFFFFF"/>
          </w:tcPr>
          <w:p>
            <w:r>
              <w:rPr>
                <w:sz w:val="18"/>
              </w:rPr>
              <w:t>Medium–High</w:t>
            </w:r>
          </w:p>
        </w:tc>
        <w:tc>
          <w:tcPr>
            <w:tcW w:type="dxa" w:w="2880"/>
            <w:shd w:val="clear" w:color="auto" w:fill="FFFFFF"/>
          </w:tcPr>
          <w:p>
            <w:r>
              <w:rPr>
                <w:sz w:val="18"/>
              </w:rPr>
              <w:t>TV-GDL-02454 + TV-POL-02223</w:t>
            </w:r>
          </w:p>
        </w:tc>
      </w:tr>
      <w:tr>
        <w:tc>
          <w:tcPr>
            <w:tcW w:type="dxa" w:w="576"/>
            <w:shd w:val="clear" w:color="auto" w:fill="EBF3FB"/>
          </w:tcPr>
          <w:p>
            <w:r>
              <w:rPr>
                <w:sz w:val="18"/>
              </w:rPr>
              <w:t>7</w:t>
            </w:r>
          </w:p>
        </w:tc>
        <w:tc>
          <w:tcPr>
            <w:tcW w:type="dxa" w:w="4608"/>
            <w:shd w:val="clear" w:color="auto" w:fill="EBF3FB"/>
          </w:tcPr>
          <w:p>
            <w:r>
              <w:rPr>
                <w:sz w:val="18"/>
              </w:rPr>
              <w:t>Material changes not reassessed during lifecycle management</w:t>
            </w:r>
          </w:p>
        </w:tc>
        <w:tc>
          <w:tcPr>
            <w:tcW w:type="dxa" w:w="2016"/>
            <w:shd w:val="clear" w:color="auto" w:fill="EBF3FB"/>
          </w:tcPr>
          <w:p>
            <w:r>
              <w:rPr>
                <w:sz w:val="18"/>
              </w:rPr>
              <w:t>High</w:t>
            </w:r>
          </w:p>
        </w:tc>
        <w:tc>
          <w:tcPr>
            <w:tcW w:type="dxa" w:w="2880"/>
            <w:shd w:val="clear" w:color="auto" w:fill="EBF3FB"/>
          </w:tcPr>
          <w:p>
            <w:r>
              <w:rPr>
                <w:sz w:val="18"/>
              </w:rPr>
              <w:t>TV-POL-02223 + HCBI Guide</w:t>
            </w:r>
          </w:p>
        </w:tc>
      </w:tr>
      <w:tr>
        <w:tc>
          <w:tcPr>
            <w:tcW w:type="dxa" w:w="576"/>
            <w:shd w:val="clear" w:color="auto" w:fill="FFFFFF"/>
          </w:tcPr>
          <w:p>
            <w:r>
              <w:rPr>
                <w:sz w:val="18"/>
              </w:rPr>
              <w:t>8</w:t>
            </w:r>
          </w:p>
        </w:tc>
        <w:tc>
          <w:tcPr>
            <w:tcW w:type="dxa" w:w="4608"/>
            <w:shd w:val="clear" w:color="auto" w:fill="FFFFFF"/>
          </w:tcPr>
          <w:p>
            <w:r>
              <w:rPr>
                <w:sz w:val="18"/>
              </w:rPr>
              <w:t>Sub-intermediary involvement not identified or assessed</w:t>
            </w:r>
          </w:p>
        </w:tc>
        <w:tc>
          <w:tcPr>
            <w:tcW w:type="dxa" w:w="2016"/>
            <w:shd w:val="clear" w:color="auto" w:fill="FFFFFF"/>
          </w:tcPr>
          <w:p>
            <w:r>
              <w:rPr>
                <w:sz w:val="18"/>
              </w:rPr>
              <w:t>High</w:t>
            </w:r>
          </w:p>
        </w:tc>
        <w:tc>
          <w:tcPr>
            <w:tcW w:type="dxa" w:w="2880"/>
            <w:shd w:val="clear" w:color="auto" w:fill="FFFFFF"/>
          </w:tcPr>
          <w:p>
            <w:r>
              <w:rPr>
                <w:sz w:val="18"/>
              </w:rPr>
              <w:t>TV-POL-02224 + TV-GDL-02453</w:t>
            </w:r>
          </w:p>
        </w:tc>
      </w:tr>
      <w:tr>
        <w:tc>
          <w:tcPr>
            <w:tcW w:type="dxa" w:w="576"/>
            <w:shd w:val="clear" w:color="auto" w:fill="EBF3FB"/>
          </w:tcPr>
          <w:p>
            <w:r>
              <w:rPr>
                <w:sz w:val="18"/>
              </w:rPr>
              <w:t>9</w:t>
            </w:r>
          </w:p>
        </w:tc>
        <w:tc>
          <w:tcPr>
            <w:tcW w:type="dxa" w:w="4608"/>
            <w:shd w:val="clear" w:color="auto" w:fill="EBF3FB"/>
          </w:tcPr>
          <w:p>
            <w:r>
              <w:rPr>
                <w:sz w:val="18"/>
              </w:rPr>
              <w:t>Business justification incomplete or unsupported</w:t>
            </w:r>
          </w:p>
        </w:tc>
        <w:tc>
          <w:tcPr>
            <w:tcW w:type="dxa" w:w="2016"/>
            <w:shd w:val="clear" w:color="auto" w:fill="EBF3FB"/>
          </w:tcPr>
          <w:p>
            <w:r>
              <w:rPr>
                <w:sz w:val="18"/>
              </w:rPr>
              <w:t>High</w:t>
            </w:r>
          </w:p>
        </w:tc>
        <w:tc>
          <w:tcPr>
            <w:tcW w:type="dxa" w:w="2880"/>
            <w:shd w:val="clear" w:color="auto" w:fill="EBF3FB"/>
          </w:tcPr>
          <w:p>
            <w:r>
              <w:rPr>
                <w:sz w:val="18"/>
              </w:rPr>
              <w:t>Business Justification Process</w:t>
            </w:r>
          </w:p>
        </w:tc>
      </w:tr>
      <w:tr>
        <w:tc>
          <w:tcPr>
            <w:tcW w:type="dxa" w:w="576"/>
            <w:shd w:val="clear" w:color="auto" w:fill="FFFFFF"/>
          </w:tcPr>
          <w:p>
            <w:r>
              <w:rPr>
                <w:sz w:val="18"/>
              </w:rPr>
              <w:t>10</w:t>
            </w:r>
          </w:p>
        </w:tc>
        <w:tc>
          <w:tcPr>
            <w:tcW w:type="dxa" w:w="4608"/>
            <w:shd w:val="clear" w:color="auto" w:fill="FFFFFF"/>
          </w:tcPr>
          <w:p>
            <w:r>
              <w:rPr>
                <w:sz w:val="18"/>
              </w:rPr>
              <w:t>Reputation screening not completed or reviewed</w:t>
            </w:r>
          </w:p>
        </w:tc>
        <w:tc>
          <w:tcPr>
            <w:tcW w:type="dxa" w:w="2016"/>
            <w:shd w:val="clear" w:color="auto" w:fill="FFFFFF"/>
          </w:tcPr>
          <w:p>
            <w:r>
              <w:rPr>
                <w:sz w:val="18"/>
              </w:rPr>
              <w:t>Medium–High</w:t>
            </w:r>
          </w:p>
        </w:tc>
        <w:tc>
          <w:tcPr>
            <w:tcW w:type="dxa" w:w="2880"/>
            <w:shd w:val="clear" w:color="auto" w:fill="FFFFFF"/>
          </w:tcPr>
          <w:p>
            <w:r>
              <w:rPr>
                <w:sz w:val="18"/>
              </w:rPr>
              <w:t>TPI Due Diligence Process</w:t>
            </w:r>
          </w:p>
        </w:tc>
      </w:tr>
      <w:tr>
        <w:tc>
          <w:tcPr>
            <w:tcW w:type="dxa" w:w="576"/>
            <w:shd w:val="clear" w:color="auto" w:fill="EBF3FB"/>
          </w:tcPr>
          <w:p>
            <w:r>
              <w:rPr>
                <w:sz w:val="18"/>
              </w:rPr>
              <w:t>11</w:t>
            </w:r>
          </w:p>
        </w:tc>
        <w:tc>
          <w:tcPr>
            <w:tcW w:type="dxa" w:w="4608"/>
            <w:shd w:val="clear" w:color="auto" w:fill="EBF3FB"/>
          </w:tcPr>
          <w:p>
            <w:r>
              <w:rPr>
                <w:sz w:val="18"/>
              </w:rPr>
              <w:t>Transaction occurred prior to due diligence completion</w:t>
            </w:r>
          </w:p>
        </w:tc>
        <w:tc>
          <w:tcPr>
            <w:tcW w:type="dxa" w:w="2016"/>
            <w:shd w:val="clear" w:color="auto" w:fill="EBF3FB"/>
          </w:tcPr>
          <w:p>
            <w:r>
              <w:rPr>
                <w:sz w:val="18"/>
              </w:rPr>
              <w:t>TBD*</w:t>
            </w:r>
          </w:p>
        </w:tc>
        <w:tc>
          <w:tcPr>
            <w:tcW w:type="dxa" w:w="2880"/>
            <w:shd w:val="clear" w:color="auto" w:fill="EBF3FB"/>
          </w:tcPr>
          <w:p>
            <w:r>
              <w:rPr>
                <w:sz w:val="18"/>
              </w:rPr>
              <w:t>Pending confirmation</w:t>
            </w:r>
          </w:p>
        </w:tc>
      </w:tr>
      <w:tr>
        <w:tc>
          <w:tcPr>
            <w:tcW w:type="dxa" w:w="576"/>
            <w:shd w:val="clear" w:color="auto" w:fill="FFFFFF"/>
          </w:tcPr>
          <w:p>
            <w:r>
              <w:rPr>
                <w:sz w:val="18"/>
              </w:rPr>
              <w:t>12</w:t>
            </w:r>
          </w:p>
        </w:tc>
        <w:tc>
          <w:tcPr>
            <w:tcW w:type="dxa" w:w="4608"/>
            <w:shd w:val="clear" w:color="auto" w:fill="FFFFFF"/>
          </w:tcPr>
          <w:p>
            <w:r>
              <w:rPr>
                <w:sz w:val="18"/>
              </w:rPr>
              <w:t>Periodic due diligence renewal not performed within cycle</w:t>
            </w:r>
          </w:p>
        </w:tc>
        <w:tc>
          <w:tcPr>
            <w:tcW w:type="dxa" w:w="2016"/>
            <w:shd w:val="clear" w:color="auto" w:fill="FFFFFF"/>
          </w:tcPr>
          <w:p>
            <w:r>
              <w:rPr>
                <w:sz w:val="18"/>
              </w:rPr>
              <w:t>TBD*</w:t>
            </w:r>
          </w:p>
        </w:tc>
        <w:tc>
          <w:tcPr>
            <w:tcW w:type="dxa" w:w="2880"/>
            <w:shd w:val="clear" w:color="auto" w:fill="FFFFFF"/>
          </w:tcPr>
          <w:p>
            <w:r>
              <w:rPr>
                <w:sz w:val="18"/>
              </w:rPr>
              <w:t>Pending confirmation</w:t>
            </w:r>
          </w:p>
        </w:tc>
      </w:tr>
    </w:tbl>
    <w:p/>
    <w:p>
      <w:r>
        <w:rPr>
          <w:b/>
          <w:i w:val="0"/>
        </w:rPr>
        <w:t>*</w:t>
      </w:r>
      <w:r>
        <w:t>Scenarios 11 and 12 are pending policy citation confirmation. No Potential Risk or Further Review Required conclusion is drawn until confirmed.</w:t>
      </w:r>
    </w:p>
    <w:p>
      <w:pPr>
        <w:pStyle w:val="Heading1"/>
      </w:pPr>
      <w:r>
        <w:rPr>
          <w:color w:val="1F457A"/>
        </w:rPr>
        <w:t>7. Phase 3 — Transactional Data Analysis (Rule-Based)</w:t>
      </w:r>
    </w:p>
    <w:p>
      <w:r>
        <w:t>Runs once per audit (not per question) at the end of the pipeline. Four deterministic SQL checks are executed against the Databricks Delta tables. The LLM is invoked only to generate the human-readable narrative for confirmed findings.</w:t>
      </w:r>
    </w:p>
    <w:p>
      <w:pPr>
        <w:pStyle w:val="Heading2"/>
      </w:pPr>
      <w:r>
        <w:rPr>
          <w:color w:val="2E74B5"/>
        </w:rPr>
        <w:t>Check 1 — Payment Concentration Mismatch</w:t>
      </w:r>
    </w:p>
    <w:p>
      <w:r>
        <w:t>Queries the top 10 TPIs by total invoice amount from actual payment data. Compares against IDR questionnaire responses referencing maximum/highest/total payments. Flags if the actual top payer is not referenced in IDR responses.</w:t>
      </w:r>
    </w:p>
    <w:tbl>
      <w:tblPr>
        <w:tblStyle w:val="TableGrid"/>
        <w:tblW w:type="auto" w:w="0"/>
        <w:tblLook w:firstColumn="1" w:firstRow="1" w:lastColumn="0" w:lastRow="0" w:noHBand="0" w:noVBand="1" w:val="04A0"/>
      </w:tblPr>
      <w:tblGrid>
        <w:gridCol w:w="4703"/>
        <w:gridCol w:w="4703"/>
      </w:tblGrid>
      <w:tr>
        <w:tc>
          <w:tcPr>
            <w:tcW w:type="dxa" w:w="3600"/>
            <w:shd w:val="clear" w:color="auto" w:fill="1F457A"/>
          </w:tcPr>
          <w:p>
            <w:pPr>
              <w:jc w:val="center"/>
            </w:pPr>
            <w:r>
              <w:rPr>
                <w:b/>
                <w:color w:val="FFFFFF"/>
                <w:sz w:val="18"/>
              </w:rPr>
              <w:t>Output Field</w:t>
            </w:r>
          </w:p>
        </w:tc>
        <w:tc>
          <w:tcPr>
            <w:tcW w:type="dxa" w:w="6480"/>
            <w:shd w:val="clear" w:color="auto" w:fill="1F457A"/>
          </w:tcPr>
          <w:p>
            <w:pPr>
              <w:jc w:val="center"/>
            </w:pPr>
            <w:r>
              <w:rPr>
                <w:b/>
                <w:color w:val="FFFFFF"/>
                <w:sz w:val="18"/>
              </w:rPr>
              <w:t>Value</w:t>
            </w:r>
          </w:p>
        </w:tc>
      </w:tr>
      <w:tr>
        <w:tc>
          <w:tcPr>
            <w:tcW w:type="dxa" w:w="3600"/>
            <w:shd w:val="clear" w:color="auto" w:fill="EBF3FB"/>
          </w:tcPr>
          <w:p>
            <w:r>
              <w:rPr>
                <w:sz w:val="18"/>
              </w:rPr>
              <w:t>Risk Type</w:t>
            </w:r>
          </w:p>
        </w:tc>
        <w:tc>
          <w:tcPr>
            <w:tcW w:type="dxa" w:w="6480"/>
            <w:shd w:val="clear" w:color="auto" w:fill="EBF3FB"/>
          </w:tcPr>
          <w:p>
            <w:r>
              <w:rPr>
                <w:sz w:val="18"/>
              </w:rPr>
              <w:t>Further Review Required</w:t>
            </w:r>
          </w:p>
        </w:tc>
      </w:tr>
      <w:tr>
        <w:tc>
          <w:tcPr>
            <w:tcW w:type="dxa" w:w="3600"/>
            <w:shd w:val="clear" w:color="auto" w:fill="FFFFFF"/>
          </w:tcPr>
          <w:p>
            <w:r>
              <w:rPr>
                <w:sz w:val="18"/>
              </w:rPr>
              <w:t>Risk Score</w:t>
            </w:r>
          </w:p>
        </w:tc>
        <w:tc>
          <w:tcPr>
            <w:tcW w:type="dxa" w:w="6480"/>
            <w:shd w:val="clear" w:color="auto" w:fill="FFFFFF"/>
          </w:tcPr>
          <w:p>
            <w:r>
              <w:rPr>
                <w:sz w:val="18"/>
              </w:rPr>
              <w:t>6.0  (Medium band)</w:t>
            </w:r>
          </w:p>
        </w:tc>
      </w:tr>
      <w:tr>
        <w:tc>
          <w:tcPr>
            <w:tcW w:type="dxa" w:w="3600"/>
            <w:shd w:val="clear" w:color="auto" w:fill="EBF3FB"/>
          </w:tcPr>
          <w:p>
            <w:r>
              <w:rPr>
                <w:sz w:val="18"/>
              </w:rPr>
              <w:t>Evidence Classification</w:t>
            </w:r>
          </w:p>
        </w:tc>
        <w:tc>
          <w:tcPr>
            <w:tcW w:type="dxa" w:w="6480"/>
            <w:shd w:val="clear" w:color="auto" w:fill="EBF3FB"/>
          </w:tcPr>
          <w:p>
            <w:r>
              <w:rPr>
                <w:sz w:val="18"/>
              </w:rPr>
              <w:t>Contradicts</w:t>
            </w:r>
          </w:p>
        </w:tc>
      </w:tr>
    </w:tbl>
    <w:p/>
    <w:p>
      <w:pPr>
        <w:pStyle w:val="Heading2"/>
      </w:pPr>
      <w:r>
        <w:rPr>
          <w:color w:val="2E74B5"/>
        </w:rPr>
        <w:t>Check 4 — Sales Revenue Concentration Risk</w:t>
      </w:r>
    </w:p>
    <w:p>
      <w:r>
        <w:t>Calculates each TPI's share of total sales revenue. Flags any TPI whose share exceeds 50% of total sales.</w:t>
      </w:r>
    </w:p>
    <w:p>
      <w:pPr>
        <w:spacing w:before="80" w:after="80"/>
        <w:ind w:left="567"/>
        <w:shd w:val="clear" w:color="auto" w:fill="F2F2F2"/>
      </w:pPr>
      <w:r>
        <w:rPr>
          <w:rFonts w:ascii="Courier New" w:hAnsi="Courier New"/>
          <w:color w:val="1A1A1A"/>
          <w:sz w:val="17"/>
        </w:rPr>
        <w:t>HAVING (SUM(Billing_Item_Net_Value) / grand_total * 100) &gt; 50</w:t>
      </w:r>
    </w:p>
    <w:tbl>
      <w:tblPr>
        <w:tblStyle w:val="TableGrid"/>
        <w:tblW w:type="auto" w:w="0"/>
        <w:tblLook w:firstColumn="1" w:firstRow="1" w:lastColumn="0" w:lastRow="0" w:noHBand="0" w:noVBand="1" w:val="04A0"/>
      </w:tblPr>
      <w:tblGrid>
        <w:gridCol w:w="4703"/>
        <w:gridCol w:w="4703"/>
      </w:tblGrid>
      <w:tr>
        <w:tc>
          <w:tcPr>
            <w:tcW w:type="dxa" w:w="3600"/>
            <w:shd w:val="clear" w:color="auto" w:fill="1F457A"/>
          </w:tcPr>
          <w:p>
            <w:pPr>
              <w:jc w:val="center"/>
            </w:pPr>
            <w:r>
              <w:rPr>
                <w:b/>
                <w:color w:val="FFFFFF"/>
                <w:sz w:val="18"/>
              </w:rPr>
              <w:t>Output Field</w:t>
            </w:r>
          </w:p>
        </w:tc>
        <w:tc>
          <w:tcPr>
            <w:tcW w:type="dxa" w:w="6480"/>
            <w:shd w:val="clear" w:color="auto" w:fill="1F457A"/>
          </w:tcPr>
          <w:p>
            <w:pPr>
              <w:jc w:val="center"/>
            </w:pPr>
            <w:r>
              <w:rPr>
                <w:b/>
                <w:color w:val="FFFFFF"/>
                <w:sz w:val="18"/>
              </w:rPr>
              <w:t>Value</w:t>
            </w:r>
          </w:p>
        </w:tc>
      </w:tr>
      <w:tr>
        <w:tc>
          <w:tcPr>
            <w:tcW w:type="dxa" w:w="3600"/>
            <w:shd w:val="clear" w:color="auto" w:fill="EBF3FB"/>
          </w:tcPr>
          <w:p>
            <w:r>
              <w:rPr>
                <w:sz w:val="18"/>
              </w:rPr>
              <w:t>Risk Type</w:t>
            </w:r>
          </w:p>
        </w:tc>
        <w:tc>
          <w:tcPr>
            <w:tcW w:type="dxa" w:w="6480"/>
            <w:shd w:val="clear" w:color="auto" w:fill="EBF3FB"/>
          </w:tcPr>
          <w:p>
            <w:r>
              <w:rPr>
                <w:sz w:val="18"/>
              </w:rPr>
              <w:t>Further Review Required</w:t>
            </w:r>
          </w:p>
        </w:tc>
      </w:tr>
      <w:tr>
        <w:tc>
          <w:tcPr>
            <w:tcW w:type="dxa" w:w="3600"/>
            <w:shd w:val="clear" w:color="auto" w:fill="FFFFFF"/>
          </w:tcPr>
          <w:p>
            <w:r>
              <w:rPr>
                <w:sz w:val="18"/>
              </w:rPr>
              <w:t>Risk Score</w:t>
            </w:r>
          </w:p>
        </w:tc>
        <w:tc>
          <w:tcPr>
            <w:tcW w:type="dxa" w:w="6480"/>
            <w:shd w:val="clear" w:color="auto" w:fill="FFFFFF"/>
          </w:tcPr>
          <w:p>
            <w:r>
              <w:rPr>
                <w:sz w:val="18"/>
              </w:rPr>
              <w:t>4.0  (Low band)</w:t>
            </w:r>
          </w:p>
        </w:tc>
      </w:tr>
      <w:tr>
        <w:tc>
          <w:tcPr>
            <w:tcW w:type="dxa" w:w="3600"/>
            <w:shd w:val="clear" w:color="auto" w:fill="EBF3FB"/>
          </w:tcPr>
          <w:p>
            <w:r>
              <w:rPr>
                <w:sz w:val="18"/>
              </w:rPr>
              <w:t>Evidence Classification</w:t>
            </w:r>
          </w:p>
        </w:tc>
        <w:tc>
          <w:tcPr>
            <w:tcW w:type="dxa" w:w="6480"/>
            <w:shd w:val="clear" w:color="auto" w:fill="EBF3FB"/>
          </w:tcPr>
          <w:p>
            <w:r>
              <w:rPr>
                <w:sz w:val="18"/>
              </w:rPr>
              <w:t>Supports</w:t>
            </w:r>
          </w:p>
        </w:tc>
      </w:tr>
    </w:tbl>
    <w:p/>
    <w:p>
      <w:pPr>
        <w:pStyle w:val="Heading2"/>
      </w:pPr>
      <w:r>
        <w:rPr>
          <w:color w:val="2E74B5"/>
        </w:rPr>
        <w:t>Check 5 — Invalid GL Account Usage</w:t>
      </w:r>
    </w:p>
    <w:p>
      <w:r>
        <w:t>Loads all approved GL account codes from the HCC GL Account Map reference file. Flags any TPI payment transaction using a GL code not present in the approved map.</w:t>
      </w:r>
    </w:p>
    <w:p>
      <w:pPr>
        <w:spacing w:before="80" w:after="80"/>
        <w:ind w:left="567"/>
        <w:shd w:val="clear" w:color="auto" w:fill="F2F2F2"/>
      </w:pPr>
      <w:r>
        <w:rPr>
          <w:rFonts w:ascii="Courier New" w:hAnsi="Courier New"/>
          <w:color w:val="1A1A1A"/>
          <w:sz w:val="17"/>
        </w:rPr>
        <w:t>WHERE GL_Account_Code NOT IN (&lt;approved GL codes from HCC map&gt;)</w:t>
      </w:r>
    </w:p>
    <w:tbl>
      <w:tblPr>
        <w:tblStyle w:val="TableGrid"/>
        <w:tblW w:type="auto" w:w="0"/>
        <w:tblLook w:firstColumn="1" w:firstRow="1" w:lastColumn="0" w:lastRow="0" w:noHBand="0" w:noVBand="1" w:val="04A0"/>
      </w:tblPr>
      <w:tblGrid>
        <w:gridCol w:w="4703"/>
        <w:gridCol w:w="4703"/>
      </w:tblGrid>
      <w:tr>
        <w:tc>
          <w:tcPr>
            <w:tcW w:type="dxa" w:w="3600"/>
            <w:shd w:val="clear" w:color="auto" w:fill="1F457A"/>
          </w:tcPr>
          <w:p>
            <w:pPr>
              <w:jc w:val="center"/>
            </w:pPr>
            <w:r>
              <w:rPr>
                <w:b/>
                <w:color w:val="FFFFFF"/>
                <w:sz w:val="18"/>
              </w:rPr>
              <w:t>Output Field</w:t>
            </w:r>
          </w:p>
        </w:tc>
        <w:tc>
          <w:tcPr>
            <w:tcW w:type="dxa" w:w="6480"/>
            <w:shd w:val="clear" w:color="auto" w:fill="1F457A"/>
          </w:tcPr>
          <w:p>
            <w:pPr>
              <w:jc w:val="center"/>
            </w:pPr>
            <w:r>
              <w:rPr>
                <w:b/>
                <w:color w:val="FFFFFF"/>
                <w:sz w:val="18"/>
              </w:rPr>
              <w:t>Value</w:t>
            </w:r>
          </w:p>
        </w:tc>
      </w:tr>
      <w:tr>
        <w:tc>
          <w:tcPr>
            <w:tcW w:type="dxa" w:w="3600"/>
            <w:shd w:val="clear" w:color="auto" w:fill="EBF3FB"/>
          </w:tcPr>
          <w:p>
            <w:r>
              <w:rPr>
                <w:sz w:val="18"/>
              </w:rPr>
              <w:t>Risk Type</w:t>
            </w:r>
          </w:p>
        </w:tc>
        <w:tc>
          <w:tcPr>
            <w:tcW w:type="dxa" w:w="6480"/>
            <w:shd w:val="clear" w:color="auto" w:fill="EBF3FB"/>
          </w:tcPr>
          <w:p>
            <w:r>
              <w:rPr>
                <w:sz w:val="18"/>
              </w:rPr>
              <w:t>Potential Risk</w:t>
            </w:r>
          </w:p>
        </w:tc>
      </w:tr>
      <w:tr>
        <w:tc>
          <w:tcPr>
            <w:tcW w:type="dxa" w:w="3600"/>
            <w:shd w:val="clear" w:color="auto" w:fill="FFFFFF"/>
          </w:tcPr>
          <w:p>
            <w:r>
              <w:rPr>
                <w:sz w:val="18"/>
              </w:rPr>
              <w:t>Risk Score</w:t>
            </w:r>
          </w:p>
        </w:tc>
        <w:tc>
          <w:tcPr>
            <w:tcW w:type="dxa" w:w="6480"/>
            <w:shd w:val="clear" w:color="auto" w:fill="FFFFFF"/>
          </w:tcPr>
          <w:p>
            <w:r>
              <w:rPr>
                <w:sz w:val="18"/>
              </w:rPr>
              <w:t>6.0  (Medium band)</w:t>
            </w:r>
          </w:p>
        </w:tc>
      </w:tr>
      <w:tr>
        <w:tc>
          <w:tcPr>
            <w:tcW w:type="dxa" w:w="3600"/>
            <w:shd w:val="clear" w:color="auto" w:fill="EBF3FB"/>
          </w:tcPr>
          <w:p>
            <w:r>
              <w:rPr>
                <w:sz w:val="18"/>
              </w:rPr>
              <w:t>Evidence Classification</w:t>
            </w:r>
          </w:p>
        </w:tc>
        <w:tc>
          <w:tcPr>
            <w:tcW w:type="dxa" w:w="6480"/>
            <w:shd w:val="clear" w:color="auto" w:fill="EBF3FB"/>
          </w:tcPr>
          <w:p>
            <w:r>
              <w:rPr>
                <w:sz w:val="18"/>
              </w:rPr>
              <w:t>Supports</w:t>
            </w:r>
          </w:p>
        </w:tc>
      </w:tr>
      <w:tr>
        <w:tc>
          <w:tcPr>
            <w:tcW w:type="dxa" w:w="3600"/>
            <w:shd w:val="clear" w:color="auto" w:fill="FFFFFF"/>
          </w:tcPr>
          <w:p>
            <w:r>
              <w:rPr>
                <w:sz w:val="18"/>
              </w:rPr>
              <w:t>Reference File</w:t>
            </w:r>
          </w:p>
        </w:tc>
        <w:tc>
          <w:tcPr>
            <w:tcW w:type="dxa" w:w="6480"/>
            <w:shd w:val="clear" w:color="auto" w:fill="FFFFFF"/>
          </w:tcPr>
          <w:p>
            <w:r>
              <w:rPr>
                <w:sz w:val="18"/>
              </w:rPr>
              <w:t>HCC_GL_Account_Map-11142023.xlsx</w:t>
            </w:r>
          </w:p>
        </w:tc>
      </w:tr>
    </w:tbl>
    <w:p/>
    <w:p>
      <w:pPr>
        <w:pStyle w:val="Heading2"/>
      </w:pPr>
      <w:r>
        <w:rPr>
          <w:color w:val="2E74B5"/>
        </w:rPr>
        <w:t>Check 6 — Unknown Supplier (Not in TPI Inventory)</w:t>
      </w:r>
    </w:p>
    <w:p>
      <w:r>
        <w:t>Loads all approved TPI entity names from the TPI Inventory file. Flags any supplier in payment transactions whose name does not match (substring match, case-insensitive) any approved TPI entity.</w:t>
      </w:r>
    </w:p>
    <w:p>
      <w:pPr>
        <w:spacing w:before="80" w:after="80"/>
        <w:ind w:left="567"/>
        <w:shd w:val="clear" w:color="auto" w:fill="F2F2F2"/>
      </w:pPr>
      <w:r>
        <w:rPr>
          <w:rFonts w:ascii="Courier New" w:hAnsi="Courier New"/>
          <w:color w:val="1A1A1A"/>
          <w:sz w:val="17"/>
        </w:rPr>
        <w:t>WHERE supplier_name NOT LIKE '%&lt;any TPI inventory name&gt;%'</w:t>
      </w:r>
    </w:p>
    <w:tbl>
      <w:tblPr>
        <w:tblStyle w:val="TableGrid"/>
        <w:tblW w:type="auto" w:w="0"/>
        <w:tblLook w:firstColumn="1" w:firstRow="1" w:lastColumn="0" w:lastRow="0" w:noHBand="0" w:noVBand="1" w:val="04A0"/>
      </w:tblPr>
      <w:tblGrid>
        <w:gridCol w:w="4703"/>
        <w:gridCol w:w="4703"/>
      </w:tblGrid>
      <w:tr>
        <w:tc>
          <w:tcPr>
            <w:tcW w:type="dxa" w:w="3600"/>
            <w:shd w:val="clear" w:color="auto" w:fill="1F457A"/>
          </w:tcPr>
          <w:p>
            <w:pPr>
              <w:jc w:val="center"/>
            </w:pPr>
            <w:r>
              <w:rPr>
                <w:b/>
                <w:color w:val="FFFFFF"/>
                <w:sz w:val="18"/>
              </w:rPr>
              <w:t>Output Field</w:t>
            </w:r>
          </w:p>
        </w:tc>
        <w:tc>
          <w:tcPr>
            <w:tcW w:type="dxa" w:w="6480"/>
            <w:shd w:val="clear" w:color="auto" w:fill="1F457A"/>
          </w:tcPr>
          <w:p>
            <w:pPr>
              <w:jc w:val="center"/>
            </w:pPr>
            <w:r>
              <w:rPr>
                <w:b/>
                <w:color w:val="FFFFFF"/>
                <w:sz w:val="18"/>
              </w:rPr>
              <w:t>Value</w:t>
            </w:r>
          </w:p>
        </w:tc>
      </w:tr>
      <w:tr>
        <w:tc>
          <w:tcPr>
            <w:tcW w:type="dxa" w:w="3600"/>
            <w:shd w:val="clear" w:color="auto" w:fill="EBF3FB"/>
          </w:tcPr>
          <w:p>
            <w:r>
              <w:rPr>
                <w:sz w:val="18"/>
              </w:rPr>
              <w:t>Risk Type</w:t>
            </w:r>
          </w:p>
        </w:tc>
        <w:tc>
          <w:tcPr>
            <w:tcW w:type="dxa" w:w="6480"/>
            <w:shd w:val="clear" w:color="auto" w:fill="EBF3FB"/>
          </w:tcPr>
          <w:p>
            <w:r>
              <w:rPr>
                <w:sz w:val="18"/>
              </w:rPr>
              <w:t>Potential Risk</w:t>
            </w:r>
          </w:p>
        </w:tc>
      </w:tr>
      <w:tr>
        <w:tc>
          <w:tcPr>
            <w:tcW w:type="dxa" w:w="3600"/>
            <w:shd w:val="clear" w:color="auto" w:fill="FFFFFF"/>
          </w:tcPr>
          <w:p>
            <w:r>
              <w:rPr>
                <w:sz w:val="18"/>
              </w:rPr>
              <w:t>Risk Score</w:t>
            </w:r>
          </w:p>
        </w:tc>
        <w:tc>
          <w:tcPr>
            <w:tcW w:type="dxa" w:w="6480"/>
            <w:shd w:val="clear" w:color="auto" w:fill="FFFFFF"/>
          </w:tcPr>
          <w:p>
            <w:r>
              <w:rPr>
                <w:sz w:val="18"/>
              </w:rPr>
              <w:t>8.0  (High band)</w:t>
            </w:r>
          </w:p>
        </w:tc>
      </w:tr>
      <w:tr>
        <w:tc>
          <w:tcPr>
            <w:tcW w:type="dxa" w:w="3600"/>
            <w:shd w:val="clear" w:color="auto" w:fill="EBF3FB"/>
          </w:tcPr>
          <w:p>
            <w:r>
              <w:rPr>
                <w:sz w:val="18"/>
              </w:rPr>
              <w:t>Evidence Classification</w:t>
            </w:r>
          </w:p>
        </w:tc>
        <w:tc>
          <w:tcPr>
            <w:tcW w:type="dxa" w:w="6480"/>
            <w:shd w:val="clear" w:color="auto" w:fill="EBF3FB"/>
          </w:tcPr>
          <w:p>
            <w:r>
              <w:rPr>
                <w:sz w:val="18"/>
              </w:rPr>
              <w:t>Supports</w:t>
            </w:r>
          </w:p>
        </w:tc>
      </w:tr>
      <w:tr>
        <w:tc>
          <w:tcPr>
            <w:tcW w:type="dxa" w:w="3600"/>
            <w:shd w:val="clear" w:color="auto" w:fill="FFFFFF"/>
          </w:tcPr>
          <w:p>
            <w:r>
              <w:rPr>
                <w:sz w:val="18"/>
              </w:rPr>
              <w:t>Reference File</w:t>
            </w:r>
          </w:p>
        </w:tc>
        <w:tc>
          <w:tcPr>
            <w:tcW w:type="dxa" w:w="6480"/>
            <w:shd w:val="clear" w:color="auto" w:fill="FFFFFF"/>
          </w:tcPr>
          <w:p>
            <w:r>
              <w:rPr>
                <w:sz w:val="18"/>
              </w:rPr>
              <w:t>TPI_Inventory_Final_Output.xlsx</w:t>
            </w:r>
          </w:p>
        </w:tc>
      </w:tr>
    </w:tbl>
    <w:p/>
    <w:p>
      <w:pPr>
        <w:pStyle w:val="Heading1"/>
      </w:pPr>
      <w:r>
        <w:rPr>
          <w:color w:val="1F457A"/>
        </w:rPr>
        <w:t>8. Cross-Question Conflict Detection</w:t>
      </w:r>
    </w:p>
    <w:p>
      <w:r>
        <w:t>After each question is processed, the system compares its response embedding against all previously processed responses in the same audit session using cosine similarity.</w:t>
      </w:r>
    </w:p>
    <w:p>
      <w:pPr>
        <w:spacing w:before="80" w:after="80"/>
        <w:ind w:left="567"/>
        <w:shd w:val="clear" w:color="auto" w:fill="F2F2F2"/>
      </w:pPr>
      <w:r>
        <w:rPr>
          <w:rFonts w:ascii="Courier New" w:hAnsi="Courier New"/>
          <w:color w:val="1A1A1A"/>
          <w:sz w:val="17"/>
        </w:rPr>
        <w:t>similarity(A, B) = (A · B) / (||A|| × ||B||)</w:t>
      </w:r>
    </w:p>
    <w:tbl>
      <w:tblPr>
        <w:tblStyle w:val="TableGrid"/>
        <w:tblW w:type="auto" w:w="0"/>
        <w:tblLook w:firstColumn="1" w:firstRow="1" w:lastColumn="0" w:lastRow="0" w:noHBand="0" w:noVBand="1" w:val="04A0"/>
      </w:tblPr>
      <w:tblGrid>
        <w:gridCol w:w="4703"/>
        <w:gridCol w:w="4703"/>
      </w:tblGrid>
      <w:tr>
        <w:tc>
          <w:tcPr>
            <w:tcW w:type="dxa" w:w="4320"/>
            <w:shd w:val="clear" w:color="auto" w:fill="1F457A"/>
          </w:tcPr>
          <w:p>
            <w:pPr>
              <w:jc w:val="center"/>
            </w:pPr>
            <w:r>
              <w:rPr>
                <w:b/>
                <w:color w:val="FFFFFF"/>
                <w:sz w:val="18"/>
              </w:rPr>
              <w:t>Similarity Score</w:t>
            </w:r>
          </w:p>
        </w:tc>
        <w:tc>
          <w:tcPr>
            <w:tcW w:type="dxa" w:w="5760"/>
            <w:shd w:val="clear" w:color="auto" w:fill="1F457A"/>
          </w:tcPr>
          <w:p>
            <w:pPr>
              <w:jc w:val="center"/>
            </w:pPr>
            <w:r>
              <w:rPr>
                <w:b/>
                <w:color w:val="FFFFFF"/>
                <w:sz w:val="18"/>
              </w:rPr>
              <w:t>Severity</w:t>
            </w:r>
          </w:p>
        </w:tc>
      </w:tr>
      <w:tr>
        <w:tc>
          <w:tcPr>
            <w:tcW w:type="dxa" w:w="4320"/>
            <w:shd w:val="clear" w:color="auto" w:fill="EBF3FB"/>
          </w:tcPr>
          <w:p>
            <w:r>
              <w:rPr>
                <w:sz w:val="18"/>
              </w:rPr>
              <w:t>≥ 0.97</w:t>
            </w:r>
          </w:p>
        </w:tc>
        <w:tc>
          <w:tcPr>
            <w:tcW w:type="dxa" w:w="5760"/>
            <w:shd w:val="clear" w:color="auto" w:fill="EBF3FB"/>
          </w:tcPr>
          <w:p>
            <w:r>
              <w:rPr>
                <w:sz w:val="18"/>
              </w:rPr>
              <w:t>Critical</w:t>
            </w:r>
          </w:p>
        </w:tc>
      </w:tr>
      <w:tr>
        <w:tc>
          <w:tcPr>
            <w:tcW w:type="dxa" w:w="4320"/>
            <w:shd w:val="clear" w:color="auto" w:fill="FFFFFF"/>
          </w:tcPr>
          <w:p>
            <w:r>
              <w:rPr>
                <w:sz w:val="18"/>
              </w:rPr>
              <w:t>≥ 0.93</w:t>
            </w:r>
          </w:p>
        </w:tc>
        <w:tc>
          <w:tcPr>
            <w:tcW w:type="dxa" w:w="5760"/>
            <w:shd w:val="clear" w:color="auto" w:fill="FFFFFF"/>
          </w:tcPr>
          <w:p>
            <w:r>
              <w:rPr>
                <w:sz w:val="18"/>
              </w:rPr>
              <w:t>Moderate</w:t>
            </w:r>
          </w:p>
        </w:tc>
      </w:tr>
      <w:tr>
        <w:tc>
          <w:tcPr>
            <w:tcW w:type="dxa" w:w="4320"/>
            <w:shd w:val="clear" w:color="auto" w:fill="EBF3FB"/>
          </w:tcPr>
          <w:p>
            <w:r>
              <w:rPr>
                <w:sz w:val="18"/>
              </w:rPr>
              <w:t>Above threshold (&lt; 0.93)</w:t>
            </w:r>
          </w:p>
        </w:tc>
        <w:tc>
          <w:tcPr>
            <w:tcW w:type="dxa" w:w="5760"/>
            <w:shd w:val="clear" w:color="auto" w:fill="EBF3FB"/>
          </w:tcPr>
          <w:p>
            <w:r>
              <w:rPr>
                <w:sz w:val="18"/>
              </w:rPr>
              <w:t>Minor</w:t>
            </w:r>
          </w:p>
        </w:tc>
      </w:tr>
    </w:tbl>
    <w:p/>
    <w:p>
      <w:r>
        <w:t>Conflict flags are attached to the finding and included in the output. They indicate potential contradictory or duplicate information across questionnaire responses.</w:t>
      </w:r>
    </w:p>
    <w:p>
      <w:pPr>
        <w:pStyle w:val="Heading1"/>
      </w:pPr>
      <w:r>
        <w:rPr>
          <w:color w:val="1F457A"/>
        </w:rPr>
        <w:t>9. Output Columns (Per Finding)</w:t>
      </w:r>
    </w:p>
    <w:p>
      <w:r>
        <w:t>Every finding (questionnaire-based and transactional) produces the following columns in the output Excel. "No Risk Identified" rows are never written to the output file.</w:t>
      </w:r>
    </w:p>
    <w:tbl>
      <w:tblPr>
        <w:tblStyle w:val="TableGrid"/>
        <w:tblW w:type="auto" w:w="0"/>
        <w:tblLook w:firstColumn="1" w:firstRow="1" w:lastColumn="0" w:lastRow="0" w:noHBand="0" w:noVBand="1" w:val="04A0"/>
      </w:tblPr>
      <w:tblGrid>
        <w:gridCol w:w="4703"/>
        <w:gridCol w:w="4703"/>
      </w:tblGrid>
      <w:tr>
        <w:tc>
          <w:tcPr>
            <w:tcW w:type="dxa" w:w="3168"/>
            <w:shd w:val="clear" w:color="auto" w:fill="1F457A"/>
          </w:tcPr>
          <w:p>
            <w:pPr>
              <w:jc w:val="center"/>
            </w:pPr>
            <w:r>
              <w:rPr>
                <w:b/>
                <w:color w:val="FFFFFF"/>
                <w:sz w:val="18"/>
              </w:rPr>
              <w:t>Column</w:t>
            </w:r>
          </w:p>
        </w:tc>
        <w:tc>
          <w:tcPr>
            <w:tcW w:type="dxa" w:w="6912"/>
            <w:shd w:val="clear" w:color="auto" w:fill="1F457A"/>
          </w:tcPr>
          <w:p>
            <w:pPr>
              <w:jc w:val="center"/>
            </w:pPr>
            <w:r>
              <w:rPr>
                <w:b/>
                <w:color w:val="FFFFFF"/>
                <w:sz w:val="18"/>
              </w:rPr>
              <w:t>Description</w:t>
            </w:r>
          </w:p>
        </w:tc>
      </w:tr>
      <w:tr>
        <w:tc>
          <w:tcPr>
            <w:tcW w:type="dxa" w:w="3168"/>
            <w:shd w:val="clear" w:color="auto" w:fill="EBF3FB"/>
          </w:tcPr>
          <w:p>
            <w:r>
              <w:rPr>
                <w:sz w:val="18"/>
              </w:rPr>
              <w:t>Risk Title</w:t>
            </w:r>
          </w:p>
        </w:tc>
        <w:tc>
          <w:tcPr>
            <w:tcW w:type="dxa" w:w="6912"/>
            <w:shd w:val="clear" w:color="auto" w:fill="EBF3FB"/>
          </w:tcPr>
          <w:p>
            <w:r>
              <w:rPr>
                <w:sz w:val="18"/>
              </w:rPr>
              <w:t>"Potential Risk" or "Further Review Required"</w:t>
            </w:r>
          </w:p>
        </w:tc>
      </w:tr>
      <w:tr>
        <w:tc>
          <w:tcPr>
            <w:tcW w:type="dxa" w:w="3168"/>
            <w:shd w:val="clear" w:color="auto" w:fill="FFFFFF"/>
          </w:tcPr>
          <w:p>
            <w:r>
              <w:rPr>
                <w:sz w:val="18"/>
              </w:rPr>
              <w:t>Risk Type</w:t>
            </w:r>
          </w:p>
        </w:tc>
        <w:tc>
          <w:tcPr>
            <w:tcW w:type="dxa" w:w="6912"/>
            <w:shd w:val="clear" w:color="auto" w:fill="FFFFFF"/>
          </w:tcPr>
          <w:p>
            <w:r>
              <w:rPr>
                <w:sz w:val="18"/>
              </w:rPr>
              <w:t>One-line description of the specific risk identified</w:t>
            </w:r>
          </w:p>
        </w:tc>
      </w:tr>
      <w:tr>
        <w:tc>
          <w:tcPr>
            <w:tcW w:type="dxa" w:w="3168"/>
            <w:shd w:val="clear" w:color="auto" w:fill="EBF3FB"/>
          </w:tcPr>
          <w:p>
            <w:r>
              <w:rPr>
                <w:sz w:val="18"/>
              </w:rPr>
              <w:t>Risk Score</w:t>
            </w:r>
          </w:p>
        </w:tc>
        <w:tc>
          <w:tcPr>
            <w:tcW w:type="dxa" w:w="6912"/>
            <w:shd w:val="clear" w:color="auto" w:fill="EBF3FB"/>
          </w:tcPr>
          <w:p>
            <w:r>
              <w:rPr>
                <w:sz w:val="18"/>
              </w:rPr>
              <w:t>Numeric 1–10</w:t>
            </w:r>
          </w:p>
        </w:tc>
      </w:tr>
      <w:tr>
        <w:tc>
          <w:tcPr>
            <w:tcW w:type="dxa" w:w="3168"/>
            <w:shd w:val="clear" w:color="auto" w:fill="FFFFFF"/>
          </w:tcPr>
          <w:p>
            <w:r>
              <w:rPr>
                <w:sz w:val="18"/>
              </w:rPr>
              <w:t>Risk Score Reasoning</w:t>
            </w:r>
          </w:p>
        </w:tc>
        <w:tc>
          <w:tcPr>
            <w:tcW w:type="dxa" w:w="6912"/>
            <w:shd w:val="clear" w:color="auto" w:fill="FFFFFF"/>
          </w:tcPr>
          <w:p>
            <w:r>
              <w:rPr>
                <w:sz w:val="18"/>
              </w:rPr>
              <w:t>Explains the score band and the key evidence that determined it</w:t>
            </w:r>
          </w:p>
        </w:tc>
      </w:tr>
      <w:tr>
        <w:tc>
          <w:tcPr>
            <w:tcW w:type="dxa" w:w="3168"/>
            <w:shd w:val="clear" w:color="auto" w:fill="EBF3FB"/>
          </w:tcPr>
          <w:p>
            <w:r>
              <w:rPr>
                <w:sz w:val="18"/>
              </w:rPr>
              <w:t>Risk Rationale</w:t>
            </w:r>
          </w:p>
        </w:tc>
        <w:tc>
          <w:tcPr>
            <w:tcW w:type="dxa" w:w="6912"/>
            <w:shd w:val="clear" w:color="auto" w:fill="EBF3FB"/>
          </w:tcPr>
          <w:p>
            <w:r>
              <w:rPr>
                <w:sz w:val="18"/>
              </w:rPr>
              <w:t>Why this is a risk — policy/rule breached</w:t>
            </w:r>
          </w:p>
        </w:tc>
      </w:tr>
      <w:tr>
        <w:tc>
          <w:tcPr>
            <w:tcW w:type="dxa" w:w="3168"/>
            <w:shd w:val="clear" w:color="auto" w:fill="FFFFFF"/>
          </w:tcPr>
          <w:p>
            <w:r>
              <w:rPr>
                <w:sz w:val="18"/>
              </w:rPr>
              <w:t>Risk Description</w:t>
            </w:r>
          </w:p>
        </w:tc>
        <w:tc>
          <w:tcPr>
            <w:tcW w:type="dxa" w:w="6912"/>
            <w:shd w:val="clear" w:color="auto" w:fill="FFFFFF"/>
          </w:tcPr>
          <w:p>
            <w:r>
              <w:rPr>
                <w:sz w:val="18"/>
              </w:rPr>
              <w:t>Detailed explanation of what was found</w:t>
            </w:r>
          </w:p>
        </w:tc>
      </w:tr>
      <w:tr>
        <w:tc>
          <w:tcPr>
            <w:tcW w:type="dxa" w:w="3168"/>
            <w:shd w:val="clear" w:color="auto" w:fill="EBF3FB"/>
          </w:tcPr>
          <w:p>
            <w:r>
              <w:rPr>
                <w:sz w:val="18"/>
              </w:rPr>
              <w:t>Evidence Classification</w:t>
            </w:r>
          </w:p>
        </w:tc>
        <w:tc>
          <w:tcPr>
            <w:tcW w:type="dxa" w:w="6912"/>
            <w:shd w:val="clear" w:color="auto" w:fill="EBF3FB"/>
          </w:tcPr>
          <w:p>
            <w:r>
              <w:rPr>
                <w:sz w:val="18"/>
              </w:rPr>
              <w:t>A / B / C / D / E</w:t>
            </w:r>
          </w:p>
        </w:tc>
      </w:tr>
      <w:tr>
        <w:tc>
          <w:tcPr>
            <w:tcW w:type="dxa" w:w="3168"/>
            <w:shd w:val="clear" w:color="auto" w:fill="FFFFFF"/>
          </w:tcPr>
          <w:p>
            <w:r>
              <w:rPr>
                <w:sz w:val="18"/>
              </w:rPr>
              <w:t>Evidence Explanation</w:t>
            </w:r>
          </w:p>
        </w:tc>
        <w:tc>
          <w:tcPr>
            <w:tcW w:type="dxa" w:w="6912"/>
            <w:shd w:val="clear" w:color="auto" w:fill="FFFFFF"/>
          </w:tcPr>
          <w:p>
            <w:r>
              <w:rPr>
                <w:sz w:val="18"/>
              </w:rPr>
              <w:t>Explanation of the evidence relationship</w:t>
            </w:r>
          </w:p>
        </w:tc>
      </w:tr>
      <w:tr>
        <w:tc>
          <w:tcPr>
            <w:tcW w:type="dxa" w:w="3168"/>
            <w:shd w:val="clear" w:color="auto" w:fill="EBF3FB"/>
          </w:tcPr>
          <w:p>
            <w:r>
              <w:rPr>
                <w:sz w:val="18"/>
              </w:rPr>
              <w:t>Calculation Evidence</w:t>
            </w:r>
          </w:p>
        </w:tc>
        <w:tc>
          <w:tcPr>
            <w:tcW w:type="dxa" w:w="6912"/>
            <w:shd w:val="clear" w:color="auto" w:fill="EBF3FB"/>
          </w:tcPr>
          <w:p>
            <w:r>
              <w:rPr>
                <w:sz w:val="18"/>
              </w:rPr>
              <w:t>Row-level transactional values (transactional findings only)</w:t>
            </w:r>
          </w:p>
        </w:tc>
      </w:tr>
      <w:tr>
        <w:tc>
          <w:tcPr>
            <w:tcW w:type="dxa" w:w="3168"/>
            <w:shd w:val="clear" w:color="auto" w:fill="FFFFFF"/>
          </w:tcPr>
          <w:p>
            <w:r>
              <w:rPr>
                <w:sz w:val="18"/>
              </w:rPr>
              <w:t>Question</w:t>
            </w:r>
          </w:p>
        </w:tc>
        <w:tc>
          <w:tcPr>
            <w:tcW w:type="dxa" w:w="6912"/>
            <w:shd w:val="clear" w:color="auto" w:fill="FFFFFF"/>
          </w:tcPr>
          <w:p>
            <w:r>
              <w:rPr>
                <w:sz w:val="18"/>
              </w:rPr>
              <w:t>Original questionnaire question (questionnaire findings only)</w:t>
            </w:r>
          </w:p>
        </w:tc>
      </w:tr>
      <w:tr>
        <w:tc>
          <w:tcPr>
            <w:tcW w:type="dxa" w:w="3168"/>
            <w:shd w:val="clear" w:color="auto" w:fill="EBF3FB"/>
          </w:tcPr>
          <w:p>
            <w:r>
              <w:rPr>
                <w:sz w:val="18"/>
              </w:rPr>
              <w:t>Response</w:t>
            </w:r>
          </w:p>
        </w:tc>
        <w:tc>
          <w:tcPr>
            <w:tcW w:type="dxa" w:w="6912"/>
            <w:shd w:val="clear" w:color="auto" w:fill="EBF3FB"/>
          </w:tcPr>
          <w:p>
            <w:r>
              <w:rPr>
                <w:sz w:val="18"/>
              </w:rPr>
              <w:t>Original auditor response (questionnaire findings only)</w:t>
            </w:r>
          </w:p>
        </w:tc>
      </w:tr>
      <w:tr>
        <w:tc>
          <w:tcPr>
            <w:tcW w:type="dxa" w:w="3168"/>
            <w:shd w:val="clear" w:color="auto" w:fill="FFFFFF"/>
          </w:tcPr>
          <w:p>
            <w:r>
              <w:rPr>
                <w:sz w:val="18"/>
              </w:rPr>
              <w:t>Source Details</w:t>
            </w:r>
          </w:p>
        </w:tc>
        <w:tc>
          <w:tcPr>
            <w:tcW w:type="dxa" w:w="6912"/>
            <w:shd w:val="clear" w:color="auto" w:fill="FFFFFF"/>
          </w:tcPr>
          <w:p>
            <w:r>
              <w:rPr>
                <w:sz w:val="18"/>
              </w:rPr>
              <w:t>Document name, section, page references used</w:t>
            </w:r>
          </w:p>
        </w:tc>
      </w:tr>
    </w:tbl>
    <w:p/>
    <w:p>
      <w:pPr>
        <w:pStyle w:val="Heading1"/>
      </w:pPr>
      <w:r>
        <w:rPr>
          <w:color w:val="1F457A"/>
        </w:rPr>
        <w:t>10. Technology Stack</w:t>
      </w:r>
    </w:p>
    <w:tbl>
      <w:tblPr>
        <w:tblStyle w:val="TableGrid"/>
        <w:tblW w:type="auto" w:w="0"/>
        <w:tblLook w:firstColumn="1" w:firstRow="1" w:lastColumn="0" w:lastRow="0" w:noHBand="0" w:noVBand="1" w:val="04A0"/>
      </w:tblPr>
      <w:tblGrid>
        <w:gridCol w:w="4703"/>
        <w:gridCol w:w="4703"/>
      </w:tblGrid>
      <w:tr>
        <w:tc>
          <w:tcPr>
            <w:tcW w:type="dxa" w:w="3600"/>
            <w:shd w:val="clear" w:color="auto" w:fill="1F457A"/>
          </w:tcPr>
          <w:p>
            <w:pPr>
              <w:jc w:val="center"/>
            </w:pPr>
            <w:r>
              <w:rPr>
                <w:b/>
                <w:color w:val="FFFFFF"/>
                <w:sz w:val="18"/>
              </w:rPr>
              <w:t>Component</w:t>
            </w:r>
          </w:p>
        </w:tc>
        <w:tc>
          <w:tcPr>
            <w:tcW w:type="dxa" w:w="6480"/>
            <w:shd w:val="clear" w:color="auto" w:fill="1F457A"/>
          </w:tcPr>
          <w:p>
            <w:pPr>
              <w:jc w:val="center"/>
            </w:pPr>
            <w:r>
              <w:rPr>
                <w:b/>
                <w:color w:val="FFFFFF"/>
                <w:sz w:val="18"/>
              </w:rPr>
              <w:t>Technology</w:t>
            </w:r>
          </w:p>
        </w:tc>
      </w:tr>
      <w:tr>
        <w:tc>
          <w:tcPr>
            <w:tcW w:type="dxa" w:w="3600"/>
            <w:shd w:val="clear" w:color="auto" w:fill="EBF3FB"/>
          </w:tcPr>
          <w:p>
            <w:r>
              <w:rPr>
                <w:sz w:val="18"/>
              </w:rPr>
              <w:t>LLM (reasoning + scoring)</w:t>
            </w:r>
          </w:p>
        </w:tc>
        <w:tc>
          <w:tcPr>
            <w:tcW w:type="dxa" w:w="6480"/>
            <w:shd w:val="clear" w:color="auto" w:fill="EBF3FB"/>
          </w:tcPr>
          <w:p>
            <w:r>
              <w:rPr>
                <w:sz w:val="18"/>
              </w:rPr>
              <w:t>Azure OpenAI GPT-5 (JNJ Gateway)</w:t>
            </w:r>
          </w:p>
        </w:tc>
      </w:tr>
      <w:tr>
        <w:tc>
          <w:tcPr>
            <w:tcW w:type="dxa" w:w="3600"/>
            <w:shd w:val="clear" w:color="auto" w:fill="FFFFFF"/>
          </w:tcPr>
          <w:p>
            <w:r>
              <w:rPr>
                <w:sz w:val="18"/>
              </w:rPr>
              <w:t>Embeddings</w:t>
            </w:r>
          </w:p>
        </w:tc>
        <w:tc>
          <w:tcPr>
            <w:tcW w:type="dxa" w:w="6480"/>
            <w:shd w:val="clear" w:color="auto" w:fill="FFFFFF"/>
          </w:tcPr>
          <w:p>
            <w:r>
              <w:rPr>
                <w:sz w:val="18"/>
              </w:rPr>
              <w:t>Azure OpenAI text-embedding-3-small (1536 dims)</w:t>
            </w:r>
          </w:p>
        </w:tc>
      </w:tr>
      <w:tr>
        <w:tc>
          <w:tcPr>
            <w:tcW w:type="dxa" w:w="3600"/>
            <w:shd w:val="clear" w:color="auto" w:fill="EBF3FB"/>
          </w:tcPr>
          <w:p>
            <w:r>
              <w:rPr>
                <w:sz w:val="18"/>
              </w:rPr>
              <w:t>Vector Search</w:t>
            </w:r>
          </w:p>
        </w:tc>
        <w:tc>
          <w:tcPr>
            <w:tcW w:type="dxa" w:w="6480"/>
            <w:shd w:val="clear" w:color="auto" w:fill="EBF3FB"/>
          </w:tcPr>
          <w:p>
            <w:r>
              <w:rPr>
                <w:sz w:val="18"/>
              </w:rPr>
              <w:t>Databricks Vector Search — Direct Access indexes</w:t>
            </w:r>
          </w:p>
        </w:tc>
      </w:tr>
      <w:tr>
        <w:tc>
          <w:tcPr>
            <w:tcW w:type="dxa" w:w="3600"/>
            <w:shd w:val="clear" w:color="auto" w:fill="FFFFFF"/>
          </w:tcPr>
          <w:p>
            <w:r>
              <w:rPr>
                <w:sz w:val="18"/>
              </w:rPr>
              <w:t>Agent Orchestration</w:t>
            </w:r>
          </w:p>
        </w:tc>
        <w:tc>
          <w:tcPr>
            <w:tcW w:type="dxa" w:w="6480"/>
            <w:shd w:val="clear" w:color="auto" w:fill="FFFFFF"/>
          </w:tcPr>
          <w:p>
            <w:r>
              <w:rPr>
                <w:sz w:val="18"/>
              </w:rPr>
              <w:t>LangGraph (multi-agent supervisor pattern)</w:t>
            </w:r>
          </w:p>
        </w:tc>
      </w:tr>
      <w:tr>
        <w:tc>
          <w:tcPr>
            <w:tcW w:type="dxa" w:w="3600"/>
            <w:shd w:val="clear" w:color="auto" w:fill="EBF3FB"/>
          </w:tcPr>
          <w:p>
            <w:r>
              <w:rPr>
                <w:sz w:val="18"/>
              </w:rPr>
              <w:t>Transactional Data</w:t>
            </w:r>
          </w:p>
        </w:tc>
        <w:tc>
          <w:tcPr>
            <w:tcW w:type="dxa" w:w="6480"/>
            <w:shd w:val="clear" w:color="auto" w:fill="EBF3FB"/>
          </w:tcPr>
          <w:p>
            <w:r>
              <w:rPr>
                <w:sz w:val="18"/>
              </w:rPr>
              <w:t>Databricks Delta Tables via SQLAlchemy</w:t>
            </w:r>
          </w:p>
        </w:tc>
      </w:tr>
      <w:tr>
        <w:tc>
          <w:tcPr>
            <w:tcW w:type="dxa" w:w="3600"/>
            <w:shd w:val="clear" w:color="auto" w:fill="FFFFFF"/>
          </w:tcPr>
          <w:p>
            <w:r>
              <w:rPr>
                <w:sz w:val="18"/>
              </w:rPr>
              <w:t>Document Extraction</w:t>
            </w:r>
          </w:p>
        </w:tc>
        <w:tc>
          <w:tcPr>
            <w:tcW w:type="dxa" w:w="6480"/>
            <w:shd w:val="clear" w:color="auto" w:fill="FFFFFF"/>
          </w:tcPr>
          <w:p>
            <w:r>
              <w:rPr>
                <w:sz w:val="18"/>
              </w:rPr>
              <w:t>PyMuPDF + pdfplumber (PDF), python-pptx (PPT), python-docx (Word), openpyxl (Excel), extract-msg (Outlook .msg)</w:t>
            </w:r>
          </w:p>
        </w:tc>
      </w:tr>
      <w:tr>
        <w:tc>
          <w:tcPr>
            <w:tcW w:type="dxa" w:w="3600"/>
            <w:shd w:val="clear" w:color="auto" w:fill="EBF3FB"/>
          </w:tcPr>
          <w:p>
            <w:r>
              <w:rPr>
                <w:sz w:val="18"/>
              </w:rPr>
              <w:t>OCR</w:t>
            </w:r>
          </w:p>
        </w:tc>
        <w:tc>
          <w:tcPr>
            <w:tcW w:type="dxa" w:w="6480"/>
            <w:shd w:val="clear" w:color="auto" w:fill="EBF3FB"/>
          </w:tcPr>
          <w:p>
            <w:r>
              <w:rPr>
                <w:sz w:val="18"/>
              </w:rPr>
              <w:t>Tesseract (for image-based PDFs)</w:t>
            </w:r>
          </w:p>
        </w:tc>
      </w:tr>
      <w:tr>
        <w:tc>
          <w:tcPr>
            <w:tcW w:type="dxa" w:w="3600"/>
            <w:shd w:val="clear" w:color="auto" w:fill="FFFFFF"/>
          </w:tcPr>
          <w:p>
            <w:r>
              <w:rPr>
                <w:sz w:val="18"/>
              </w:rPr>
              <w:t>Platform</w:t>
            </w:r>
          </w:p>
        </w:tc>
        <w:tc>
          <w:tcPr>
            <w:tcW w:type="dxa" w:w="6480"/>
            <w:shd w:val="clear" w:color="auto" w:fill="FFFFFF"/>
          </w:tcPr>
          <w:p>
            <w:r>
              <w:rPr>
                <w:sz w:val="18"/>
              </w:rPr>
              <w:t>Databricks Unity Catalog (catalog, schema, volumes, tables)</w:t>
            </w:r>
          </w:p>
        </w:tc>
      </w:tr>
    </w:tbl>
    <w:p/>
    <w:p>
      <w:pPr>
        <w:pBdr>
          <w:bottom w:val="single" w:sz="6" w:color="2E74B5"/>
        </w:pBdr>
      </w:pPr>
    </w:p>
    <w:p>
      <w:r>
        <w:rPr>
          <w:b w:val="0"/>
          <w:i/>
          <w:color w:val="646464"/>
        </w:rPr>
        <w:t>This document reflects the algorithm as implemented in the current version of the AI Auditor codebase.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