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A8E3E" w14:textId="77777777" w:rsidR="00FA09BA" w:rsidRDefault="00000000">
      <w:r>
        <w:rPr>
          <w:b/>
          <w:color w:val="1E3A5F"/>
          <w:sz w:val="36"/>
        </w:rPr>
        <w:t>Skills &amp; MCP — Executive Brief</w:t>
      </w:r>
    </w:p>
    <w:p w14:paraId="19CFD45D" w14:textId="77777777" w:rsidR="00FA09BA" w:rsidRDefault="00000000">
      <w:r>
        <w:rPr>
          <w:i/>
          <w:color w:val="606060"/>
          <w:sz w:val="20"/>
        </w:rPr>
        <w:t>FCPA / TPI Due-Diligence AI Auditor  •  CA&amp;I</w:t>
      </w:r>
    </w:p>
    <w:p w14:paraId="5512C694" w14:textId="77777777" w:rsidR="00FA09BA" w:rsidRDefault="00000000">
      <w:r>
        <w:rPr>
          <w:b/>
          <w:color w:val="1E3A5F"/>
          <w:sz w:val="26"/>
        </w:rPr>
        <w:t>Summary</w:t>
      </w:r>
    </w:p>
    <w:p w14:paraId="4C5910F4" w14:textId="77777777" w:rsidR="00FA09BA" w:rsidRDefault="00000000">
      <w:pPr>
        <w:pStyle w:val="ListBullet"/>
        <w:spacing w:after="40"/>
      </w:pPr>
      <w:r>
        <w:t>Skills and MCP are engineering conveniences (reusability and dynamic tooling). They do NOT change the analytical quality of the risk assessment.</w:t>
      </w:r>
    </w:p>
    <w:p w14:paraId="0FEC3DC8" w14:textId="77777777" w:rsidR="00FA09BA" w:rsidRDefault="00000000">
      <w:pPr>
        <w:pStyle w:val="ListBullet"/>
        <w:spacing w:after="40"/>
      </w:pPr>
      <w:r>
        <w:t>Output quality is driven by the reasoning model (GPT-5), prompt design, and retrieval (RAG) — all already in place and performing.</w:t>
      </w:r>
    </w:p>
    <w:p w14:paraId="750ACCAA" w14:textId="77777777" w:rsidR="00FA09BA" w:rsidRDefault="00000000">
      <w:pPr>
        <w:pStyle w:val="ListBullet"/>
        <w:spacing w:after="40"/>
      </w:pPr>
      <w:r>
        <w:t>“Skills” are native to Google ADK and to Claude. They are not native to our LangChain / LangGraph stack, so we deliver the same capabilities via prompts + typed tools + graph orchestration — with identical output quality.</w:t>
      </w:r>
    </w:p>
    <w:p w14:paraId="3A5A79A3" w14:textId="77777777" w:rsidR="00FA09BA" w:rsidRDefault="00000000">
      <w:pPr>
        <w:pStyle w:val="ListBullet"/>
        <w:spacing w:after="40"/>
      </w:pPr>
      <w:r>
        <w:t>Plan: once the pipeline output is validated, the same capabilities will be consumed in another way — via tool-calling (and packaged for reuse) — as a maintainability step, not to improve answers.</w:t>
      </w:r>
    </w:p>
    <w:p w14:paraId="3BF94100" w14:textId="77777777" w:rsidR="00FA09BA" w:rsidRDefault="00000000">
      <w:pPr>
        <w:pStyle w:val="ListBullet"/>
        <w:spacing w:after="40"/>
      </w:pPr>
      <w:r>
        <w:t>MCP (dynamic tool calling) will be added later; it carries added cost and slight latency, so it is deferred until the benefit is justified.</w:t>
      </w:r>
    </w:p>
    <w:p w14:paraId="643F6E38" w14:textId="77777777" w:rsidR="00FA09BA" w:rsidRDefault="00000000">
      <w:r>
        <w:rPr>
          <w:b/>
          <w:color w:val="1E3A5F"/>
          <w:sz w:val="26"/>
        </w:rPr>
        <w:t>Why quality is unaffected</w:t>
      </w:r>
    </w:p>
    <w:p w14:paraId="707456A6" w14:textId="77777777" w:rsidR="00FA09BA" w:rsidRDefault="00000000">
      <w:r>
        <w:t>A “Skill” is a packaging layer above the model — a reusable capsule of instruction + resources. Whether a capability lives inside a Skill or inside a prompt + tool on LangGraph, the model reasons over the same inputs and reaches the same conclusion. Skills change how code is organised and reused, not what the model decides. The strong output seen at “skill level” on ADK / Claude comes from the model, prompts and retrieval underneath — which we reproduce exactly on GPT-5 + LangGraph.</w:t>
      </w:r>
    </w:p>
    <w:p w14:paraId="3A2D0542" w14:textId="77777777" w:rsidR="00FA09BA" w:rsidRDefault="00000000">
      <w:r>
        <w:rPr>
          <w:b/>
          <w:color w:val="1E3A5F"/>
          <w:sz w:val="26"/>
        </w:rPr>
        <w:t>How we achieve the same thing (ADK vs LangGraph)</w:t>
      </w:r>
    </w:p>
    <w:tbl>
      <w:tblPr>
        <w:tblStyle w:val="LightGrid-Accent1"/>
        <w:tblW w:w="0" w:type="auto"/>
        <w:tblLook w:val="04A0" w:firstRow="1" w:lastRow="0" w:firstColumn="1" w:lastColumn="0" w:noHBand="0" w:noVBand="1"/>
      </w:tblPr>
      <w:tblGrid>
        <w:gridCol w:w="2880"/>
        <w:gridCol w:w="2880"/>
        <w:gridCol w:w="2880"/>
      </w:tblGrid>
      <w:tr w:rsidR="00FA09BA" w14:paraId="549361B3" w14:textId="77777777" w:rsidTr="00FA09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2F7EA1" w14:textId="77777777" w:rsidR="00FA09BA" w:rsidRDefault="00000000">
            <w:r>
              <w:rPr>
                <w:sz w:val="19"/>
              </w:rPr>
              <w:t>Aspect</w:t>
            </w:r>
          </w:p>
        </w:tc>
        <w:tc>
          <w:tcPr>
            <w:tcW w:w="2880" w:type="dxa"/>
          </w:tcPr>
          <w:p w14:paraId="7519D587" w14:textId="77777777" w:rsidR="00FA09BA" w:rsidRDefault="00000000">
            <w:pPr>
              <w:cnfStyle w:val="100000000000" w:firstRow="1" w:lastRow="0" w:firstColumn="0" w:lastColumn="0" w:oddVBand="0" w:evenVBand="0" w:oddHBand="0" w:evenHBand="0" w:firstRowFirstColumn="0" w:firstRowLastColumn="0" w:lastRowFirstColumn="0" w:lastRowLastColumn="0"/>
            </w:pPr>
            <w:r>
              <w:rPr>
                <w:sz w:val="19"/>
              </w:rPr>
              <w:t>Google ADK (skill-native)</w:t>
            </w:r>
          </w:p>
        </w:tc>
        <w:tc>
          <w:tcPr>
            <w:tcW w:w="2880" w:type="dxa"/>
          </w:tcPr>
          <w:p w14:paraId="7B21A3BC" w14:textId="77777777" w:rsidR="00FA09BA" w:rsidRDefault="00000000">
            <w:pPr>
              <w:cnfStyle w:val="100000000000" w:firstRow="1" w:lastRow="0" w:firstColumn="0" w:lastColumn="0" w:oddVBand="0" w:evenVBand="0" w:oddHBand="0" w:evenHBand="0" w:firstRowFirstColumn="0" w:firstRowLastColumn="0" w:lastRowFirstColumn="0" w:lastRowLastColumn="0"/>
            </w:pPr>
            <w:r>
              <w:rPr>
                <w:sz w:val="19"/>
              </w:rPr>
              <w:t>LangGraph — our stack</w:t>
            </w:r>
          </w:p>
        </w:tc>
      </w:tr>
      <w:tr w:rsidR="00FA09BA" w14:paraId="0DE9299F" w14:textId="77777777" w:rsidTr="00FA09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17FA5A" w14:textId="77777777" w:rsidR="00FA09BA" w:rsidRDefault="00000000">
            <w:r>
              <w:rPr>
                <w:sz w:val="19"/>
              </w:rPr>
              <w:t>Reusable capability</w:t>
            </w:r>
          </w:p>
        </w:tc>
        <w:tc>
          <w:tcPr>
            <w:tcW w:w="2880" w:type="dxa"/>
          </w:tcPr>
          <w:p w14:paraId="73EC1EDE" w14:textId="77777777" w:rsidR="00FA09BA" w:rsidRDefault="00000000">
            <w:pPr>
              <w:cnfStyle w:val="000000100000" w:firstRow="0" w:lastRow="0" w:firstColumn="0" w:lastColumn="0" w:oddVBand="0" w:evenVBand="0" w:oddHBand="1" w:evenHBand="0" w:firstRowFirstColumn="0" w:firstRowLastColumn="0" w:lastRowFirstColumn="0" w:lastRowLastColumn="0"/>
            </w:pPr>
            <w:r>
              <w:rPr>
                <w:sz w:val="19"/>
              </w:rPr>
              <w:t>Skill (native primitive)</w:t>
            </w:r>
          </w:p>
        </w:tc>
        <w:tc>
          <w:tcPr>
            <w:tcW w:w="2880" w:type="dxa"/>
          </w:tcPr>
          <w:p w14:paraId="44691220" w14:textId="77777777" w:rsidR="00FA09BA" w:rsidRDefault="00000000">
            <w:pPr>
              <w:cnfStyle w:val="000000100000" w:firstRow="0" w:lastRow="0" w:firstColumn="0" w:lastColumn="0" w:oddVBand="0" w:evenVBand="0" w:oddHBand="1" w:evenHBand="0" w:firstRowFirstColumn="0" w:firstRowLastColumn="0" w:lastRowFirstColumn="0" w:lastRowLastColumn="0"/>
            </w:pPr>
            <w:r>
              <w:rPr>
                <w:sz w:val="19"/>
              </w:rPr>
              <w:t>Typed tool / graph node</w:t>
            </w:r>
          </w:p>
        </w:tc>
      </w:tr>
      <w:tr w:rsidR="00FA09BA" w14:paraId="1B2B5112" w14:textId="77777777" w:rsidTr="00FA09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EE83FD" w14:textId="77777777" w:rsidR="00FA09BA" w:rsidRDefault="00000000">
            <w:r>
              <w:rPr>
                <w:sz w:val="19"/>
              </w:rPr>
              <w:t>Instructions</w:t>
            </w:r>
          </w:p>
        </w:tc>
        <w:tc>
          <w:tcPr>
            <w:tcW w:w="2880" w:type="dxa"/>
          </w:tcPr>
          <w:p w14:paraId="0D4A68D7" w14:textId="77777777" w:rsidR="00FA09BA" w:rsidRDefault="00000000">
            <w:pPr>
              <w:cnfStyle w:val="000000010000" w:firstRow="0" w:lastRow="0" w:firstColumn="0" w:lastColumn="0" w:oddVBand="0" w:evenVBand="0" w:oddHBand="0" w:evenHBand="1" w:firstRowFirstColumn="0" w:firstRowLastColumn="0" w:lastRowFirstColumn="0" w:lastRowLastColumn="0"/>
            </w:pPr>
            <w:r>
              <w:rPr>
                <w:sz w:val="19"/>
              </w:rPr>
              <w:t>Inside the skill spec</w:t>
            </w:r>
          </w:p>
        </w:tc>
        <w:tc>
          <w:tcPr>
            <w:tcW w:w="2880" w:type="dxa"/>
          </w:tcPr>
          <w:p w14:paraId="7AA4B11B" w14:textId="77777777" w:rsidR="00FA09BA" w:rsidRDefault="00000000">
            <w:pPr>
              <w:cnfStyle w:val="000000010000" w:firstRow="0" w:lastRow="0" w:firstColumn="0" w:lastColumn="0" w:oddVBand="0" w:evenVBand="0" w:oddHBand="0" w:evenHBand="1" w:firstRowFirstColumn="0" w:firstRowLastColumn="0" w:lastRowFirstColumn="0" w:lastRowLastColumn="0"/>
            </w:pPr>
            <w:r>
              <w:rPr>
                <w:sz w:val="19"/>
              </w:rPr>
              <w:t>Inside the prompt</w:t>
            </w:r>
          </w:p>
        </w:tc>
      </w:tr>
      <w:tr w:rsidR="00FA09BA" w14:paraId="6E1B524F" w14:textId="77777777" w:rsidTr="00FA09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D1E78B" w14:textId="77777777" w:rsidR="00FA09BA" w:rsidRDefault="00000000">
            <w:r>
              <w:rPr>
                <w:sz w:val="19"/>
              </w:rPr>
              <w:t>Orchestration</w:t>
            </w:r>
          </w:p>
        </w:tc>
        <w:tc>
          <w:tcPr>
            <w:tcW w:w="2880" w:type="dxa"/>
          </w:tcPr>
          <w:p w14:paraId="7AACAEB0" w14:textId="77777777" w:rsidR="00FA09BA" w:rsidRDefault="00000000">
            <w:pPr>
              <w:cnfStyle w:val="000000100000" w:firstRow="0" w:lastRow="0" w:firstColumn="0" w:lastColumn="0" w:oddVBand="0" w:evenVBand="0" w:oddHBand="1" w:evenHBand="0" w:firstRowFirstColumn="0" w:firstRowLastColumn="0" w:lastRowFirstColumn="0" w:lastRowLastColumn="0"/>
            </w:pPr>
            <w:r>
              <w:rPr>
                <w:sz w:val="19"/>
              </w:rPr>
              <w:t>Runtime auto-orchestrates skills</w:t>
            </w:r>
          </w:p>
        </w:tc>
        <w:tc>
          <w:tcPr>
            <w:tcW w:w="2880" w:type="dxa"/>
          </w:tcPr>
          <w:p w14:paraId="4DB6850E" w14:textId="77777777" w:rsidR="00FA09BA" w:rsidRDefault="00000000">
            <w:pPr>
              <w:cnfStyle w:val="000000100000" w:firstRow="0" w:lastRow="0" w:firstColumn="0" w:lastColumn="0" w:oddVBand="0" w:evenVBand="0" w:oddHBand="1" w:evenHBand="0" w:firstRowFirstColumn="0" w:firstRowLastColumn="0" w:lastRowFirstColumn="0" w:lastRowLastColumn="0"/>
            </w:pPr>
            <w:r>
              <w:rPr>
                <w:sz w:val="19"/>
              </w:rPr>
              <w:t>Explicit supervisor graph (deterministic)</w:t>
            </w:r>
          </w:p>
        </w:tc>
      </w:tr>
      <w:tr w:rsidR="00FA09BA" w14:paraId="7E3978F6" w14:textId="77777777" w:rsidTr="00FA09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3193F1" w14:textId="77777777" w:rsidR="00FA09BA" w:rsidRDefault="00000000">
            <w:r>
              <w:rPr>
                <w:sz w:val="19"/>
              </w:rPr>
              <w:t>Reasoning model</w:t>
            </w:r>
          </w:p>
        </w:tc>
        <w:tc>
          <w:tcPr>
            <w:tcW w:w="2880" w:type="dxa"/>
          </w:tcPr>
          <w:p w14:paraId="6E05461C" w14:textId="77777777" w:rsidR="00FA09BA" w:rsidRDefault="00000000">
            <w:pPr>
              <w:cnfStyle w:val="000000010000" w:firstRow="0" w:lastRow="0" w:firstColumn="0" w:lastColumn="0" w:oddVBand="0" w:evenVBand="0" w:oddHBand="0" w:evenHBand="1" w:firstRowFirstColumn="0" w:firstRowLastColumn="0" w:lastRowFirstColumn="0" w:lastRowLastColumn="0"/>
            </w:pPr>
            <w:r>
              <w:rPr>
                <w:sz w:val="19"/>
              </w:rPr>
              <w:t>Model-agnostic</w:t>
            </w:r>
          </w:p>
        </w:tc>
        <w:tc>
          <w:tcPr>
            <w:tcW w:w="2880" w:type="dxa"/>
          </w:tcPr>
          <w:p w14:paraId="5B5F9DE6" w14:textId="77777777" w:rsidR="00FA09BA" w:rsidRDefault="00000000">
            <w:pPr>
              <w:cnfStyle w:val="000000010000" w:firstRow="0" w:lastRow="0" w:firstColumn="0" w:lastColumn="0" w:oddVBand="0" w:evenVBand="0" w:oddHBand="0" w:evenHBand="1" w:firstRowFirstColumn="0" w:firstRowLastColumn="0" w:lastRowFirstColumn="0" w:lastRowLastColumn="0"/>
            </w:pPr>
            <w:r>
              <w:rPr>
                <w:sz w:val="19"/>
              </w:rPr>
              <w:t>GPT-5 (strong compliance reasoning)</w:t>
            </w:r>
          </w:p>
        </w:tc>
      </w:tr>
      <w:tr w:rsidR="00FA09BA" w14:paraId="248CB06F" w14:textId="77777777" w:rsidTr="00FA09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E27198" w14:textId="77777777" w:rsidR="00FA09BA" w:rsidRDefault="00000000">
            <w:r>
              <w:rPr>
                <w:sz w:val="19"/>
              </w:rPr>
              <w:t>Dynamic tooling</w:t>
            </w:r>
          </w:p>
        </w:tc>
        <w:tc>
          <w:tcPr>
            <w:tcW w:w="2880" w:type="dxa"/>
          </w:tcPr>
          <w:p w14:paraId="732CDAB6" w14:textId="77777777" w:rsidR="00FA09BA" w:rsidRDefault="00000000">
            <w:pPr>
              <w:cnfStyle w:val="000000100000" w:firstRow="0" w:lastRow="0" w:firstColumn="0" w:lastColumn="0" w:oddVBand="0" w:evenVBand="0" w:oddHBand="1" w:evenHBand="0" w:firstRowFirstColumn="0" w:firstRowLastColumn="0" w:lastRowFirstColumn="0" w:lastRowLastColumn="0"/>
            </w:pPr>
            <w:r>
              <w:rPr>
                <w:sz w:val="19"/>
              </w:rPr>
              <w:t>Toolsets / MCP</w:t>
            </w:r>
          </w:p>
        </w:tc>
        <w:tc>
          <w:tcPr>
            <w:tcW w:w="2880" w:type="dxa"/>
          </w:tcPr>
          <w:p w14:paraId="1ACF7A1F" w14:textId="77777777" w:rsidR="00FA09BA" w:rsidRDefault="00000000">
            <w:pPr>
              <w:cnfStyle w:val="000000100000" w:firstRow="0" w:lastRow="0" w:firstColumn="0" w:lastColumn="0" w:oddVBand="0" w:evenVBand="0" w:oddHBand="1" w:evenHBand="0" w:firstRowFirstColumn="0" w:firstRowLastColumn="0" w:lastRowFirstColumn="0" w:lastRowLastColumn="0"/>
            </w:pPr>
            <w:r>
              <w:rPr>
                <w:sz w:val="19"/>
              </w:rPr>
              <w:t>Static typed tools today; MCP later</w:t>
            </w:r>
          </w:p>
        </w:tc>
      </w:tr>
      <w:tr w:rsidR="00FA09BA" w14:paraId="75BDAE0A" w14:textId="77777777" w:rsidTr="00FA09B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595C81" w14:textId="77777777" w:rsidR="00FA09BA" w:rsidRDefault="00000000">
            <w:r>
              <w:rPr>
                <w:sz w:val="19"/>
              </w:rPr>
              <w:t>Quality driver</w:t>
            </w:r>
          </w:p>
        </w:tc>
        <w:tc>
          <w:tcPr>
            <w:tcW w:w="2880" w:type="dxa"/>
          </w:tcPr>
          <w:p w14:paraId="333E93F6" w14:textId="77777777" w:rsidR="00FA09BA" w:rsidRDefault="00000000">
            <w:pPr>
              <w:cnfStyle w:val="000000010000" w:firstRow="0" w:lastRow="0" w:firstColumn="0" w:lastColumn="0" w:oddVBand="0" w:evenVBand="0" w:oddHBand="0" w:evenHBand="1" w:firstRowFirstColumn="0" w:firstRowLastColumn="0" w:lastRowFirstColumn="0" w:lastRowLastColumn="0"/>
            </w:pPr>
            <w:r>
              <w:rPr>
                <w:sz w:val="19"/>
              </w:rPr>
              <w:t>Model + prompts + retrieval</w:t>
            </w:r>
          </w:p>
        </w:tc>
        <w:tc>
          <w:tcPr>
            <w:tcW w:w="2880" w:type="dxa"/>
          </w:tcPr>
          <w:p w14:paraId="02BF08B5" w14:textId="77777777" w:rsidR="00FA09BA" w:rsidRDefault="00000000">
            <w:pPr>
              <w:cnfStyle w:val="000000010000" w:firstRow="0" w:lastRow="0" w:firstColumn="0" w:lastColumn="0" w:oddVBand="0" w:evenVBand="0" w:oddHBand="0" w:evenHBand="1" w:firstRowFirstColumn="0" w:firstRowLastColumn="0" w:lastRowFirstColumn="0" w:lastRowLastColumn="0"/>
            </w:pPr>
            <w:r>
              <w:rPr>
                <w:sz w:val="19"/>
              </w:rPr>
              <w:t>Same — model + prompts + retrieval</w:t>
            </w:r>
          </w:p>
        </w:tc>
      </w:tr>
      <w:tr w:rsidR="00FA09BA" w14:paraId="41923C3F" w14:textId="77777777" w:rsidTr="00FA09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CAAEDF" w14:textId="77777777" w:rsidR="00FA09BA" w:rsidRDefault="00000000">
            <w:r>
              <w:rPr>
                <w:sz w:val="19"/>
              </w:rPr>
              <w:t>Net output quality</w:t>
            </w:r>
          </w:p>
        </w:tc>
        <w:tc>
          <w:tcPr>
            <w:tcW w:w="2880" w:type="dxa"/>
          </w:tcPr>
          <w:p w14:paraId="62A36784" w14:textId="77777777" w:rsidR="00FA09BA" w:rsidRDefault="00000000">
            <w:pPr>
              <w:cnfStyle w:val="000000100000" w:firstRow="0" w:lastRow="0" w:firstColumn="0" w:lastColumn="0" w:oddVBand="0" w:evenVBand="0" w:oddHBand="1" w:evenHBand="0" w:firstRowFirstColumn="0" w:firstRowLastColumn="0" w:lastRowFirstColumn="0" w:lastRowLastColumn="0"/>
            </w:pPr>
            <w:r>
              <w:rPr>
                <w:sz w:val="19"/>
              </w:rPr>
              <w:t>—</w:t>
            </w:r>
          </w:p>
        </w:tc>
        <w:tc>
          <w:tcPr>
            <w:tcW w:w="2880" w:type="dxa"/>
          </w:tcPr>
          <w:p w14:paraId="31C7303C" w14:textId="77777777" w:rsidR="00FA09BA" w:rsidRDefault="00000000">
            <w:pPr>
              <w:cnfStyle w:val="000000100000" w:firstRow="0" w:lastRow="0" w:firstColumn="0" w:lastColumn="0" w:oddVBand="0" w:evenVBand="0" w:oddHBand="1" w:evenHBand="0" w:firstRowFirstColumn="0" w:firstRowLastColumn="0" w:lastRowFirstColumn="0" w:lastRowLastColumn="0"/>
            </w:pPr>
            <w:r>
              <w:rPr>
                <w:sz w:val="19"/>
              </w:rPr>
              <w:t>Identical (skills only affect reuse/packaging)</w:t>
            </w:r>
          </w:p>
        </w:tc>
      </w:tr>
    </w:tbl>
    <w:p w14:paraId="221E1D8C" w14:textId="77777777" w:rsidR="00FA09BA" w:rsidRDefault="00000000">
      <w:r>
        <w:rPr>
          <w:i/>
          <w:sz w:val="19"/>
        </w:rPr>
        <w:t>Only the model, prompts and retrieval rows touch quality — and those are equivalent (GPT-5 is a strong reasoning choice). Every other difference is packaging and orchestration, not correctness.</w:t>
      </w:r>
    </w:p>
    <w:p w14:paraId="62EC0372" w14:textId="77777777" w:rsidR="001F1A38" w:rsidRDefault="001F1A38">
      <w:pPr>
        <w:rPr>
          <w:b/>
          <w:color w:val="1E3A5F"/>
          <w:sz w:val="26"/>
        </w:rPr>
      </w:pPr>
    </w:p>
    <w:p w14:paraId="78604378" w14:textId="68AD7EF2" w:rsidR="00FA09BA" w:rsidRDefault="00000000">
      <w:r>
        <w:rPr>
          <w:b/>
          <w:color w:val="1E3A5F"/>
          <w:sz w:val="26"/>
        </w:rPr>
        <w:lastRenderedPageBreak/>
        <w:t>MCP — deferred, with reasons</w:t>
      </w:r>
    </w:p>
    <w:p w14:paraId="20095AF7" w14:textId="77777777" w:rsidR="00FA09BA" w:rsidRDefault="00000000">
      <w:pPr>
        <w:pStyle w:val="ListBullet"/>
        <w:spacing w:after="40"/>
      </w:pPr>
      <w:r>
        <w:t>Purpose: dynamic tool discovery / binding at runtime (useful when the tool set changes).</w:t>
      </w:r>
    </w:p>
    <w:p w14:paraId="21F37FB0" w14:textId="77777777" w:rsidR="00FA09BA" w:rsidRDefault="00000000">
      <w:pPr>
        <w:pStyle w:val="ListBullet"/>
        <w:spacing w:after="40"/>
      </w:pPr>
      <w:r>
        <w:t>Cost: additional runtime / infrastructure — a real cost factor to justify.</w:t>
      </w:r>
    </w:p>
    <w:p w14:paraId="15764122" w14:textId="77777777" w:rsidR="00FA09BA" w:rsidRDefault="00000000">
      <w:pPr>
        <w:pStyle w:val="ListBullet"/>
        <w:spacing w:after="40"/>
      </w:pPr>
      <w:r>
        <w:t>Latency: each dynamic tool call adds a little latency (handshake + round-trip).</w:t>
      </w:r>
    </w:p>
    <w:p w14:paraId="74AD5FAF" w14:textId="77777777" w:rsidR="00FA09BA" w:rsidRDefault="00000000">
      <w:pPr>
        <w:pStyle w:val="ListBullet"/>
        <w:spacing w:after="40"/>
      </w:pPr>
      <w:r>
        <w:t>Decision: deferred. Our static, typed tools cover today's need at lower cost and latency; MCP will be added later when dynamic tooling clearly pays for itself.</w:t>
      </w:r>
    </w:p>
    <w:p w14:paraId="3A3CAE77" w14:textId="77777777" w:rsidR="00FA09BA" w:rsidRDefault="00000000">
      <w:r>
        <w:rPr>
          <w:b/>
          <w:color w:val="1E3A5F"/>
          <w:sz w:val="26"/>
        </w:rPr>
        <w:t>Roadmap &amp; bottom line</w:t>
      </w:r>
    </w:p>
    <w:p w14:paraId="44FDE8AB" w14:textId="77777777" w:rsidR="00FA09BA" w:rsidRDefault="00000000">
      <w:pPr>
        <w:pStyle w:val="ListBullet"/>
        <w:spacing w:after="40"/>
      </w:pPr>
      <w:r>
        <w:t>1) Validate the output first.</w:t>
      </w:r>
    </w:p>
    <w:p w14:paraId="5BD3AF00" w14:textId="77777777" w:rsidR="00FA09BA" w:rsidRDefault="00000000">
      <w:pPr>
        <w:pStyle w:val="ListBullet"/>
        <w:spacing w:after="40"/>
      </w:pPr>
      <w:r>
        <w:t>2) Then consume the validated capabilities via tool-calling (package for reuse).</w:t>
      </w:r>
    </w:p>
    <w:p w14:paraId="62ED8CC2" w14:textId="77777777" w:rsidR="00FA09BA" w:rsidRDefault="00000000">
      <w:pPr>
        <w:pStyle w:val="ListBullet"/>
        <w:spacing w:after="40"/>
      </w:pPr>
      <w:r>
        <w:t>3) Add MCP for dynamic tooling when the cost / latency trade-off is justified.</w:t>
      </w:r>
    </w:p>
    <w:p w14:paraId="4E3DCEAF" w14:textId="77777777" w:rsidR="00FA09BA" w:rsidRDefault="00000000">
      <w:r>
        <w:rPr>
          <w:b/>
        </w:rPr>
        <w:t>No output quality is lost today. Skills and MCP are additive, later — reusability and dynamic tooling — not accuracy levers.</w:t>
      </w:r>
    </w:p>
    <w:sectPr w:rsidR="00FA09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1835816">
    <w:abstractNumId w:val="8"/>
  </w:num>
  <w:num w:numId="2" w16cid:durableId="370613544">
    <w:abstractNumId w:val="6"/>
  </w:num>
  <w:num w:numId="3" w16cid:durableId="1665401378">
    <w:abstractNumId w:val="5"/>
  </w:num>
  <w:num w:numId="4" w16cid:durableId="250117456">
    <w:abstractNumId w:val="4"/>
  </w:num>
  <w:num w:numId="5" w16cid:durableId="1046300888">
    <w:abstractNumId w:val="7"/>
  </w:num>
  <w:num w:numId="6" w16cid:durableId="2041390491">
    <w:abstractNumId w:val="3"/>
  </w:num>
  <w:num w:numId="7" w16cid:durableId="2025206753">
    <w:abstractNumId w:val="2"/>
  </w:num>
  <w:num w:numId="8" w16cid:durableId="936522109">
    <w:abstractNumId w:val="1"/>
  </w:num>
  <w:num w:numId="9" w16cid:durableId="433870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A38"/>
    <w:rsid w:val="0029639D"/>
    <w:rsid w:val="00326F90"/>
    <w:rsid w:val="00855398"/>
    <w:rsid w:val="00AA1D8D"/>
    <w:rsid w:val="00B47730"/>
    <w:rsid w:val="00CB0664"/>
    <w:rsid w:val="00FA09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963548"/>
  <w14:defaultImageDpi w14:val="300"/>
  <w15:docId w15:val="{3572F4D0-5B68-4825-B8FD-6A24CBDDD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447</Words>
  <Characters>2553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RUDRANSH MAHESHWARI</cp:lastModifiedBy>
  <cp:revision>2</cp:revision>
  <dcterms:created xsi:type="dcterms:W3CDTF">2013-12-23T23:15:00Z</dcterms:created>
  <dcterms:modified xsi:type="dcterms:W3CDTF">2026-09-14T11:29:00Z</dcterms:modified>
  <cp:category/>
</cp:coreProperties>
</file>