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8"/>
          <w:szCs w:val="48"/>
        </w:rPr>
        <w:t xml:space="preserve">BUSINESS STRATEGY REPORT</w:t>
      </w:r>
    </w:p>
    <w:p>
      <w:pPr>
        <w:spacing w:after="100" w:before="200"/>
        <w:jc w:val="center"/>
      </w:pPr>
      <w:r>
        <w:rPr>
          <w:b/>
          <w:bCs/>
          <w:color w:val="2E75B6"/>
          <w:sz w:val="28"/>
          <w:szCs w:val="28"/>
        </w:rPr>
        <w:t xml:space="preserve">AI Study Companion for Competitive Exam Aspirants</w:t>
      </w:r>
    </w:p>
    <w:p>
      <w:pPr>
        <w:spacing w:before="400"/>
        <w:jc w:val="center"/>
      </w:pPr>
      <w:r>
        <w:rPr>
          <w:color w:val="666666"/>
          <w:sz w:val="21"/>
          <w:szCs w:val="21"/>
        </w:rPr>
        <w:t xml:space="preserve">Prepared by: AI Co-Founder / Growth Strategist / YC Advisor / Business Consultant</w:t>
      </w:r>
    </w:p>
    <w:p>
      <w:pPr>
        <w:spacing w:before="100"/>
        <w:jc w:val="center"/>
      </w:pPr>
      <w:r>
        <w:rPr>
          <w:color w:val="666666"/>
          <w:sz w:val="21"/>
          <w:szCs w:val="21"/>
        </w:rPr>
        <w:t xml:space="preserve">Source: Day 22 Startup Validation Report + Day 23 Customer &amp; MVP Blueprint</w:t>
      </w:r>
    </w:p>
    <w:p>
      <w:pPr>
        <w:spacing w:before="100"/>
        <w:jc w:val="center"/>
      </w:pPr>
      <w:r>
        <w:rPr>
          <w:color w:val="666666"/>
          <w:sz w:val="21"/>
          <w:szCs w:val="21"/>
        </w:rPr>
        <w:t xml:space="preserve">July 2026</w:t>
      </w:r>
    </w:p>
    <w:p>
      <w:pPr>
        <w:spacing w:before="3200"/>
        <w:jc w:val="center"/>
      </w:pPr>
      <w:r>
        <w:rPr>
          <w:i/>
          <w:iCs/>
          <w:color w:val="666666"/>
          <w:sz w:val="17"/>
          <w:szCs w:val="17"/>
        </w:rPr>
        <w:t xml:space="preserve">CONFIDENTIAL — Illustrative sample report continuing a hypothetical startup idea. Replace all figures with real customer and financial data before external use.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40"/>
      </w:pPr>
      <w:r>
        <w:rPr>
          <w:sz w:val="20"/>
          <w:szCs w:val="20"/>
        </w:rPr>
        <w:t xml:space="preserve">Note: right-click this table in Word and select “Update Field → Update entire table” to populate page numbers before exporting to PDF.</w:t>
      </w:r>
    </w:p>
    <w:p>
      <w:r>
        <w:br w:type="page"/>
      </w:r>
    </w:p>
    <w:p>
      <w:pPr>
        <w:pStyle w:val="Heading1"/>
      </w:pPr>
      <w:r>
        <w:t xml:space="preserve">Executive Summary</w:t>
      </w:r>
    </w:p>
    <w:p>
      <w:pPr>
        <w:spacing w:after="140"/>
      </w:pPr>
      <w:r>
        <w:rPr>
          <w:sz w:val="20"/>
          <w:szCs w:val="20"/>
        </w:rPr>
        <w:t xml:space="preserve">This report determines whether the AI study companion concept from the Day 22/23 analyses can become a sustainable business — not just a validated problem. The lens here is revenue over vanity metrics, distribution over features, evidence over assumptions, and practical execution over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Question</w:t>
            </w:r>
          </w:p>
        </w:tc>
        <w:tc>
          <w:tcPr>
            <w:tcW w:type="dxa" w:w="6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Current Answer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Who pays?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The individual aspirant (B2C), self-funded, price-sensitive</w:t>
            </w:r>
          </w:p>
        </w:tc>
      </w:tr>
      <w:tr>
        <w:tc>
          <w:tcPr>
            <w:tcW w:type="dxa" w:w="30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Why do they pay?</w:t>
            </w:r>
          </w:p>
        </w:tc>
        <w:tc>
          <w:tcPr>
            <w:tcW w:type="dxa" w:w="63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To reduce revision time and anxiety via diagnostic clarity — unproven directly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How do they discover it?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Peer/study-group referral (Telegram/WhatsApp) — low-cost, unproven at scale</w:t>
            </w:r>
          </w:p>
        </w:tc>
      </w:tr>
      <w:tr>
        <w:tc>
          <w:tcPr>
            <w:tcW w:type="dxa" w:w="30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Biggest growth risk</w:t>
            </w:r>
          </w:p>
        </w:tc>
        <w:tc>
          <w:tcPr>
            <w:tcW w:type="dxa" w:w="63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Dependence on organic peer virality with no paid-acquisition budget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Biggest monetization risk</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No evidence anyone will pay for diagnostics alone, without new content</w:t>
            </w:r>
          </w:p>
        </w:tc>
      </w:tr>
    </w:tbl>
    <w:p>
      <w:pPr>
        <w:spacing w:after="140"/>
      </w:pPr>
      <w:r>
        <w:rPr>
          <w:sz w:val="20"/>
          <w:szCs w:val="20"/>
        </w:rPr>
        <w:t xml:space="preserve">Verdict at a glance: the business model is coherent on paper, but rests on four untested assumptions (see Weak Assumptions below). This is a Validate-stage business, not yet an Investable one.</w:t>
      </w:r>
    </w:p>
    <w:p>
      <w:pPr>
        <w:pStyle w:val="Heading1"/>
      </w:pPr>
      <w:r>
        <w:t xml:space="preserve">1. Business Reality Check</w:t>
      </w:r>
    </w:p>
    <w:p>
      <w:pPr>
        <w:pStyle w:val="Heading3"/>
      </w:pPr>
      <w:r>
        <w:t xml:space="preserve">Who pays?</w:t>
      </w:r>
    </w:p>
    <w:p>
      <w:pPr>
        <w:spacing w:after="140"/>
      </w:pPr>
      <w:r>
        <w:rPr>
          <w:sz w:val="20"/>
          <w:szCs w:val="20"/>
        </w:rPr>
        <w:t xml:space="preserve">Primary payer is the aspirant themself — not a parent, not an institution. This is a B2C purchase from a self-funded, price-sensitive buyer who already spends on at least one test series or course per year.</w:t>
      </w:r>
    </w:p>
    <w:p>
      <w:pPr>
        <w:pStyle w:val="Heading3"/>
      </w:pPr>
      <w:r>
        <w:t xml:space="preserve">Why do they pay?</w:t>
      </w:r>
    </w:p>
    <w:p>
      <w:pPr>
        <w:spacing w:after="140"/>
      </w:pPr>
      <w:r>
        <w:rPr>
          <w:sz w:val="20"/>
          <w:szCs w:val="20"/>
        </w:rPr>
        <w:t xml:space="preserve">The stated value proposition is time and anxiety reduction: knowing which topics are actually weak, rather than guessing. This is plausible given the persona's stated frustrations, but has not been confirmed by any interview, purchase, or pre-commitment.</w:t>
      </w:r>
    </w:p>
    <w:p>
      <w:pPr>
        <w:pStyle w:val="Heading3"/>
      </w:pPr>
      <w:r>
        <w:t xml:space="preserve">How will they discover the product?</w:t>
      </w:r>
    </w:p>
    <w:p>
      <w:pPr>
        <w:spacing w:after="140"/>
      </w:pPr>
      <w:r>
        <w:rPr>
          <w:sz w:val="20"/>
          <w:szCs w:val="20"/>
        </w:rPr>
        <w:t xml:space="preserve">The current plan relies entirely on peer referral inside Telegram/WhatsApp study groups — a low-cost but unpredictable channel. There is no paid-acquisition plan, no SEO/content strategy, and no institutional partnership in place yet.</w:t>
      </w:r>
    </w:p>
    <w:p>
      <w:pPr>
        <w:pStyle w:val="Heading3"/>
      </w:pPr>
      <w:r>
        <w:t xml:space="preserve">Biggest growth risks</w:t>
      </w:r>
    </w:p>
    <w:p>
      <w:pPr>
        <w:pStyle w:val="ListParagraph"/>
        <w:numPr>
          <w:ilvl w:val="0"/>
          <w:numId w:val="2"/>
        </w:numPr>
        <w:spacing w:after="70"/>
      </w:pPr>
      <w:r>
        <w:rPr>
          <w:sz w:val="20"/>
          <w:szCs w:val="20"/>
        </w:rPr>
        <w:t xml:space="preserve">Organic-only distribution may not reach critical mass fast enough to matter before the exam cycle passes.</w:t>
      </w:r>
    </w:p>
    <w:p>
      <w:pPr>
        <w:pStyle w:val="ListParagraph"/>
        <w:numPr>
          <w:ilvl w:val="0"/>
          <w:numId w:val="2"/>
        </w:numPr>
        <w:spacing w:after="70"/>
      </w:pPr>
      <w:r>
        <w:rPr>
          <w:sz w:val="20"/>
          <w:szCs w:val="20"/>
        </w:rPr>
        <w:t xml:space="preserve">Banking-only MVP scope limits total addressable early users, which limits referral volume.</w:t>
      </w:r>
    </w:p>
    <w:p>
      <w:pPr>
        <w:pStyle w:val="ListParagraph"/>
        <w:numPr>
          <w:ilvl w:val="0"/>
          <w:numId w:val="2"/>
        </w:numPr>
        <w:spacing w:after="70"/>
      </w:pPr>
      <w:r>
        <w:rPr>
          <w:sz w:val="20"/>
          <w:szCs w:val="20"/>
        </w:rPr>
        <w:t xml:space="preserve">No founder track record or brand recognition to lend credibility in a trust-sensitive category.</w:t>
      </w:r>
    </w:p>
    <w:p>
      <w:pPr>
        <w:pStyle w:val="Heading3"/>
      </w:pPr>
      <w:r>
        <w:t xml:space="preserve">Biggest monetization risks</w:t>
      </w:r>
    </w:p>
    <w:p>
      <w:pPr>
        <w:pStyle w:val="ListParagraph"/>
        <w:numPr>
          <w:ilvl w:val="0"/>
          <w:numId w:val="2"/>
        </w:numPr>
        <w:spacing w:after="70"/>
      </w:pPr>
      <w:r>
        <w:rPr>
          <w:sz w:val="20"/>
          <w:szCs w:val="20"/>
        </w:rPr>
        <w:t xml:space="preserve">Willingness to pay for a diagnostic-only product (no new content) is unproven — aspirants may expect content bundled with any paid tool.</w:t>
      </w:r>
    </w:p>
    <w:p>
      <w:pPr>
        <w:pStyle w:val="ListParagraph"/>
        <w:numPr>
          <w:ilvl w:val="0"/>
          <w:numId w:val="2"/>
        </w:numPr>
        <w:spacing w:after="70"/>
      </w:pPr>
      <w:r>
        <w:rPr>
          <w:sz w:val="20"/>
          <w:szCs w:val="20"/>
        </w:rPr>
        <w:t xml:space="preserve">Free tier could satisfy most casual users, leaving too few motivated to convert to Core.</w:t>
      </w:r>
    </w:p>
    <w:p>
      <w:pPr>
        <w:pStyle w:val="ListParagraph"/>
        <w:numPr>
          <w:ilvl w:val="0"/>
          <w:numId w:val="2"/>
        </w:numPr>
        <w:spacing w:after="70"/>
      </w:pPr>
      <w:r>
        <w:rPr>
          <w:sz w:val="20"/>
          <w:szCs w:val="20"/>
        </w:rPr>
        <w:t xml:space="preserve">Price anchoring below a test series (₹199–299/mo) may be too low to sustain unit economics once AI inference costs are included.</w:t>
      </w:r>
    </w:p>
    <w:p>
      <w:pPr>
        <w:pStyle w:val="Heading3"/>
      </w:pPr>
      <w:r>
        <w:t xml:space="preserve">Weak assumptions to validate</w:t>
      </w:r>
    </w:p>
    <w:p>
      <w:pPr>
        <w:pStyle w:val="ListParagraph"/>
        <w:numPr>
          <w:ilvl w:val="0"/>
          <w:numId w:val="3"/>
        </w:numPr>
        <w:spacing w:after="70"/>
      </w:pPr>
      <w:r>
        <w:rPr>
          <w:sz w:val="20"/>
          <w:szCs w:val="20"/>
        </w:rPr>
        <w:t xml:space="preserve">That a standalone diagnostic (without new content) is valuable enough to pay for.</w:t>
      </w:r>
    </w:p>
    <w:p>
      <w:pPr>
        <w:pStyle w:val="ListParagraph"/>
        <w:numPr>
          <w:ilvl w:val="0"/>
          <w:numId w:val="3"/>
        </w:numPr>
        <w:spacing w:after="70"/>
      </w:pPr>
      <w:r>
        <w:rPr>
          <w:sz w:val="20"/>
          <w:szCs w:val="20"/>
        </w:rPr>
        <w:t xml:space="preserve">That spaced-repetition nudges alone drive weekly habit formation.</w:t>
      </w:r>
    </w:p>
    <w:p>
      <w:pPr>
        <w:pStyle w:val="ListParagraph"/>
        <w:numPr>
          <w:ilvl w:val="0"/>
          <w:numId w:val="3"/>
        </w:numPr>
        <w:spacing w:after="70"/>
      </w:pPr>
      <w:r>
        <w:rPr>
          <w:sz w:val="20"/>
          <w:szCs w:val="20"/>
        </w:rPr>
        <w:t xml:space="preserve">That a banking-only MVP still generates enough word-of-mouth to be self-sustaining.</w:t>
      </w:r>
    </w:p>
    <w:p>
      <w:pPr>
        <w:pStyle w:val="ListParagraph"/>
        <w:numPr>
          <w:ilvl w:val="0"/>
          <w:numId w:val="3"/>
        </w:numPr>
        <w:spacing w:after="70"/>
      </w:pPr>
      <w:r>
        <w:rPr>
          <w:sz w:val="20"/>
          <w:szCs w:val="20"/>
        </w:rPr>
        <w:t xml:space="preserve">That ₹199–299/month is both affordable to the ICP and sufficient to cover AI/content-review costs.</w:t>
      </w:r>
    </w:p>
    <w:p>
      <w:pPr>
        <w:pStyle w:val="Heading1"/>
      </w:pPr>
      <w:r>
        <w:t xml:space="preserve">2. 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Block</w:t>
            </w:r>
          </w:p>
        </w:tc>
        <w:tc>
          <w:tcPr>
            <w:tcW w:type="dxa" w:w="6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Value Proposition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Turns any study material into a weekly, personalized weak-topic diagnostic — reduces revision guesswork</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Customer Segments</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Banking-exam aspirants (2nd/3rd attempt), tier-2/3 India, 19–27</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Channels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Telegram/WhatsApp study groups, peer referral, exam-date-triggered search (later)</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Customer Relationships</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Self-serve app with periodic nudges; no human support layer at MVP stage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Revenue Streams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Freemium → Core monthly subscription → Exam Sprint one-time pass</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Key Resources</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Quiz-generation/AI engine, banking syllabus map, content-review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Key Activities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Content ingestion pipeline, quiz generation, weak-topic scoring, reminder system</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Key Partners</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None yet identified — potential: coaching institutes, exam-prep influencers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Cost Structure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AI inference costs, human content review, hosting, customer support</w:t>
            </w:r>
          </w:p>
        </w:tc>
      </w:tr>
    </w:tbl>
    <w:p>
      <w:pPr>
        <w:pStyle w:val="Heading1"/>
      </w:pPr>
      <w:r>
        <w:t xml:space="preserve">3. Revenue &amp;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Price</w:t>
            </w:r>
          </w:p>
        </w:tc>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Includes</w:t>
            </w:r>
          </w:p>
        </w:tc>
        <w:tc>
          <w:tcPr>
            <w:tcW w:type="dxa" w:w="2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Risk</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3 quizzes/month, basic report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May fully satisfy casual users — low conversion</w:t>
            </w:r>
          </w:p>
        </w:tc>
      </w:tr>
      <w:tr>
        <w:tc>
          <w:tcPr>
            <w:tcW w:type="dxa" w:w="16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Core</w:t>
            </w:r>
          </w:p>
        </w:tc>
        <w:tc>
          <w:tcPr>
            <w:tcW w:type="dxa" w:w="1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₹199–299/mo</w:t>
            </w:r>
          </w:p>
        </w:tc>
        <w:tc>
          <w:tcPr>
            <w:tcW w:type="dxa" w:w="32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Unlimited quizzes, full report, reminders</w:t>
            </w:r>
          </w:p>
        </w:tc>
        <w:tc>
          <w:tcPr>
            <w:tcW w:type="dxa" w:w="2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Unvalidated willingness to pay</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Exam Sprint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₹499 / 60 days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Core + intensified pre-exam cadence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One-time revenue only, no recurring base</w:t>
            </w:r>
          </w:p>
        </w:tc>
      </w:tr>
    </w:tbl>
    <w:p>
      <w:pPr>
        <w:spacing w:after="140"/>
      </w:pPr>
      <w:r>
        <w:rPr>
          <w:sz w:val="20"/>
          <w:szCs w:val="20"/>
        </w:rPr>
        <w:t xml:space="preserve">Revenue-over-vanity check: signups and downloads are not revenue signals in this model. The metric that matters is paid conversion within the first 60 days of use, tied to an actual exam date — not total registered users.</w:t>
      </w:r>
    </w:p>
    <w:p>
      <w:pPr>
        <w:pStyle w:val="Heading1"/>
      </w:pPr>
      <w:r>
        <w:t xml:space="preserve">4.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Phase</w:t>
            </w:r>
          </w:p>
        </w:tc>
        <w:tc>
          <w:tcPr>
            <w:tcW w:type="dxa" w:w="6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Approach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Phase 0 (Weeks 1–4)</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Manual concierge testing with 10–15 recruited aspirants — no paid marketing</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Phase 1 (Months 2–3)</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Seed 3–5 active Telegram/WhatsApp study groups with free access + referral ask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Phase 2 (Months 4–6)</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Test one coaching-institute partnership as a distribution channel (B2B2C)</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Phase 3 (Months 6+)</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Introduce paid acquisition only after organic channels show a repeatable CAC/LTV ratio</w:t>
            </w:r>
          </w:p>
        </w:tc>
      </w:tr>
    </w:tbl>
    <w:p>
      <w:pPr>
        <w:pStyle w:val="Heading1"/>
      </w:pPr>
      <w:r>
        <w:t xml:space="preserve">5. Customer Acquisition Strategy</w:t>
      </w:r>
    </w:p>
    <w:p>
      <w:pPr>
        <w:pStyle w:val="ListParagraph"/>
        <w:numPr>
          <w:ilvl w:val="0"/>
          <w:numId w:val="2"/>
        </w:numPr>
        <w:spacing w:after="70"/>
      </w:pPr>
      <w:r>
        <w:rPr>
          <w:sz w:val="20"/>
          <w:szCs w:val="20"/>
        </w:rPr>
        <w:t xml:space="preserve">Primary channel: peer referral inside existing banking-exam Telegram/WhatsApp communities.</w:t>
      </w:r>
    </w:p>
    <w:p>
      <w:pPr>
        <w:pStyle w:val="ListParagraph"/>
        <w:numPr>
          <w:ilvl w:val="0"/>
          <w:numId w:val="2"/>
        </w:numPr>
        <w:spacing w:after="70"/>
      </w:pPr>
      <w:r>
        <w:rPr>
          <w:sz w:val="20"/>
          <w:szCs w:val="20"/>
        </w:rPr>
        <w:t xml:space="preserve">Secondary channel (untested): coaching-institute partnerships offering the tool as a value-add.</w:t>
      </w:r>
    </w:p>
    <w:p>
      <w:pPr>
        <w:pStyle w:val="ListParagraph"/>
        <w:numPr>
          <w:ilvl w:val="0"/>
          <w:numId w:val="2"/>
        </w:numPr>
        <w:spacing w:after="70"/>
      </w:pPr>
      <w:r>
        <w:rPr>
          <w:sz w:val="20"/>
          <w:szCs w:val="20"/>
        </w:rPr>
        <w:t xml:space="preserve">Content/SEO and paid ads are explicitly deferred until organic signal is proven — avoids burning cash on an unvalidated funnel.</w:t>
      </w:r>
    </w:p>
    <w:p>
      <w:pPr>
        <w:pStyle w:val="ListParagraph"/>
        <w:numPr>
          <w:ilvl w:val="0"/>
          <w:numId w:val="2"/>
        </w:numPr>
        <w:spacing w:after="70"/>
      </w:pPr>
      <w:r>
        <w:rPr>
          <w:sz w:val="20"/>
          <w:szCs w:val="20"/>
        </w:rPr>
        <w:t xml:space="preserve">Every weekly report should include a built-in, low-friction referral prompt (share with study group).</w:t>
      </w:r>
    </w:p>
    <w:p>
      <w:pPr>
        <w:pStyle w:val="Heading1"/>
      </w:pPr>
      <w:r>
        <w:t xml:space="preserve">6. First 100 Users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Step</w:t>
            </w:r>
          </w:p>
        </w:tc>
        <w:tc>
          <w:tcPr>
            <w:tcW w:type="dxa" w:w="7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1–15</w:t>
            </w:r>
          </w:p>
        </w:tc>
        <w:tc>
          <w:tcPr>
            <w:tcW w:type="dxa" w:w="7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Direct recruitment from banking-exam Telegram/WhatsApp groups; manual onboarding calls</w:t>
            </w:r>
          </w:p>
        </w:tc>
      </w:tr>
      <w:tr>
        <w:tc>
          <w:tcPr>
            <w:tcW w:type="dxa" w:w="16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16–30</w:t>
            </w:r>
          </w:p>
        </w:tc>
        <w:tc>
          <w:tcPr>
            <w:tcW w:type="dxa" w:w="7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Referrals from first cohort's study groups, seeded with a simple share prompt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31–60</w:t>
            </w:r>
          </w:p>
        </w:tc>
        <w:tc>
          <w:tcPr>
            <w:tcW w:type="dxa" w:w="7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Expand to 2–3 additional Telegram communities focused on IBPS PO/Clerk</w:t>
            </w:r>
          </w:p>
        </w:tc>
      </w:tr>
      <w:tr>
        <w:tc>
          <w:tcPr>
            <w:tcW w:type="dxa" w:w="16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61–100</w:t>
            </w:r>
          </w:p>
        </w:tc>
        <w:tc>
          <w:tcPr>
            <w:tcW w:type="dxa" w:w="7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Test one coaching-institute co-promotion to reach a new pool of aspirants</w:t>
            </w:r>
          </w:p>
        </w:tc>
      </w:tr>
    </w:tbl>
    <w:p>
      <w:pPr>
        <w:pStyle w:val="Heading1"/>
      </w:pPr>
      <w:r>
        <w:t xml:space="preserve">7. Competitive Position &amp;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Current moat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Thin — source-agnostic ingestion + adaptive diagnostic combo is a feature gap, not a defensible moat yet</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Potential moat over time</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Proprietary weak-topic data per user could improve personalization faster than competitors replicate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Competitor response risk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Testbook or Adda247 could add a similar diagnostic feature with far greater distribution</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Realistic differentiation window</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6–12 months before a well-funded incumbent could close the feature gap</w:t>
            </w:r>
          </w:p>
        </w:tc>
      </w:tr>
    </w:tbl>
    <w:p>
      <w:pPr>
        <w:pStyle w:val="Heading1"/>
      </w:pPr>
      <w:r>
        <w:t xml:space="preserve">8. Reverse SWOT Analysis</w:t>
      </w:r>
    </w:p>
    <w:p>
      <w:pPr>
        <w:spacing w:after="140"/>
      </w:pPr>
      <w:r>
        <w:rPr>
          <w:sz w:val="20"/>
          <w:szCs w:val="20"/>
        </w:rPr>
        <w:t xml:space="preserve">A reverse SWOT stress-tests each strength/opportunity by asking what could make it a weakness/threat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Stated Strength/Opportunity</w:t>
            </w:r>
          </w:p>
        </w:tc>
        <w:tc>
          <w:tcPr>
            <w:tcW w:type="dxa" w:w="5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How It Could Become a Weakness/Threat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Narrow banking-only MVP focus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Too small a user base to generate meaningful referral volume or data</w:t>
            </w:r>
          </w:p>
        </w:tc>
      </w:tr>
      <w:tr>
        <w:tc>
          <w:tcPr>
            <w:tcW w:type="dxa" w:w="36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Low price point vs. test series</w:t>
            </w:r>
          </w:p>
        </w:tc>
        <w:tc>
          <w:tcPr>
            <w:tcW w:type="dxa" w:w="5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May be too low to cover AI/content costs at scale, forcing an awkward price hike later</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Peer-referral distribution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No control or predictability — growth could stall with no lever to pull</w:t>
            </w:r>
          </w:p>
        </w:tc>
      </w:tr>
      <w:tr>
        <w:tc>
          <w:tcPr>
            <w:tcW w:type="dxa" w:w="36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Diagnostic-only value prop</w:t>
            </w:r>
          </w:p>
        </w:tc>
        <w:tc>
          <w:tcPr>
            <w:tcW w:type="dxa" w:w="5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Aspirants may see it as “incomplete” without bundled content, hurting perceived value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Large addressable market (TAM)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Also attracts incumbents with far greater capital to copy the feature</w:t>
            </w:r>
          </w:p>
        </w:tc>
      </w:tr>
    </w:tbl>
    <w:p>
      <w:pPr>
        <w:pStyle w:val="Heading1"/>
      </w:pPr>
      <w:r>
        <w:t xml:space="preserve">9. Investor One-Liner &amp; 30-Second Founder Pitch</w:t>
      </w:r>
    </w:p>
    <w:p>
      <w:pPr>
        <w:pStyle w:val="Heading3"/>
      </w:pPr>
      <w:r>
        <w:t xml:space="preserve">Investor One-Liner</w:t>
      </w:r>
    </w:p>
    <w:p>
      <w:pPr>
        <w:shd w:fill="FBF0DA" w:val="clear"/>
        <w:spacing w:after="100" w:before="60"/>
      </w:pPr>
      <w:r>
        <w:rPr>
          <w:b/>
          <w:bCs/>
          <w:color w:val="B8860B"/>
          <w:sz w:val="22"/>
          <w:szCs w:val="22"/>
        </w:rPr>
        <w:t xml:space="preserve">“A diagnostic layer that tells India's banking-exam aspirants exactly what to revise next — turning any study material into a personalized weak-topic report.”</w:t>
      </w:r>
    </w:p>
    <w:p>
      <w:pPr>
        <w:pStyle w:val="Heading3"/>
      </w:pPr>
      <w:r>
        <w:t xml:space="preserve">30-Second Founder Pitch</w:t>
      </w:r>
    </w:p>
    <w:p>
      <w:pPr>
        <w:spacing w:after="140"/>
      </w:pPr>
      <w:r>
        <w:rPr>
          <w:sz w:val="20"/>
          <w:szCs w:val="20"/>
        </w:rPr>
        <w:t xml:space="preserve">Every year, millions of banking-exam aspirants in India spend months revising without knowing which topics they've actually mastered. They juggle test series, PDFs, and YouTube lectures, but no tool tells them where they're really weak. We built a diagnostic layer that turns any material they already have into a personalized quiz and a weekly weak-topic report — so they stop guessing and start revising what matters. We're starting with IBPS PO and Clerk aspirants, priced below a single test series, and growing through the peer study groups where these aspirants already spend their time.</w:t>
      </w:r>
    </w:p>
    <w:p>
      <w:pPr>
        <w:pStyle w:val="Heading1"/>
      </w:pPr>
      <w:r>
        <w:t xml:space="preserve">10. Founder Action Sheet — Top 10 Actions</w:t>
      </w:r>
    </w:p>
    <w:p>
      <w:pPr>
        <w:pStyle w:val="ListParagraph"/>
        <w:numPr>
          <w:ilvl w:val="0"/>
          <w:numId w:val="3"/>
        </w:numPr>
        <w:spacing w:after="70"/>
      </w:pPr>
      <w:r>
        <w:rPr>
          <w:sz w:val="20"/>
          <w:szCs w:val="20"/>
        </w:rPr>
        <w:t xml:space="preserve">Recruit 10–15 banking-exam aspirants for manual concierge testing (no product yet, spreadsheet-based)</w:t>
      </w:r>
    </w:p>
    <w:p>
      <w:pPr>
        <w:pStyle w:val="ListParagraph"/>
        <w:numPr>
          <w:ilvl w:val="0"/>
          <w:numId w:val="3"/>
        </w:numPr>
        <w:spacing w:after="70"/>
      </w:pPr>
      <w:r>
        <w:rPr>
          <w:sz w:val="20"/>
          <w:szCs w:val="20"/>
        </w:rPr>
        <w:t xml:space="preserve">Directly ask willingness-to-pay questions at the three proposed price points</w:t>
      </w:r>
    </w:p>
    <w:p>
      <w:pPr>
        <w:pStyle w:val="ListParagraph"/>
        <w:numPr>
          <w:ilvl w:val="0"/>
          <w:numId w:val="3"/>
        </w:numPr>
        <w:spacing w:after="70"/>
      </w:pPr>
      <w:r>
        <w:rPr>
          <w:sz w:val="20"/>
          <w:szCs w:val="20"/>
        </w:rPr>
        <w:t xml:space="preserve">Track weekly return rate as the core habit-formation signal before building automation</w:t>
      </w:r>
    </w:p>
    <w:p>
      <w:pPr>
        <w:pStyle w:val="ListParagraph"/>
        <w:numPr>
          <w:ilvl w:val="0"/>
          <w:numId w:val="3"/>
        </w:numPr>
        <w:spacing w:after="70"/>
      </w:pPr>
      <w:r>
        <w:rPr>
          <w:sz w:val="20"/>
          <w:szCs w:val="20"/>
        </w:rPr>
        <w:t xml:space="preserve">Validate content ingestion against the top 3 sources aspirants actually use (specific PDFs/lecture types)</w:t>
      </w:r>
    </w:p>
    <w:p>
      <w:pPr>
        <w:pStyle w:val="ListParagraph"/>
        <w:numPr>
          <w:ilvl w:val="0"/>
          <w:numId w:val="3"/>
        </w:numPr>
        <w:spacing w:after="70"/>
      </w:pPr>
      <w:r>
        <w:rPr>
          <w:sz w:val="20"/>
          <w:szCs w:val="20"/>
        </w:rPr>
        <w:t xml:space="preserve">Identify and approach one coaching institute for a potential distribution partnership</w:t>
      </w:r>
    </w:p>
    <w:p>
      <w:pPr>
        <w:pStyle w:val="ListParagraph"/>
        <w:numPr>
          <w:ilvl w:val="0"/>
          <w:numId w:val="3"/>
        </w:numPr>
        <w:spacing w:after="70"/>
      </w:pPr>
      <w:r>
        <w:rPr>
          <w:sz w:val="20"/>
          <w:szCs w:val="20"/>
        </w:rPr>
        <w:t xml:space="preserve">Build the referral prompt into the very first version of the weekly report</w:t>
      </w:r>
    </w:p>
    <w:p>
      <w:pPr>
        <w:pStyle w:val="ListParagraph"/>
        <w:numPr>
          <w:ilvl w:val="0"/>
          <w:numId w:val="3"/>
        </w:numPr>
        <w:spacing w:after="70"/>
      </w:pPr>
      <w:r>
        <w:rPr>
          <w:sz w:val="20"/>
          <w:szCs w:val="20"/>
        </w:rPr>
        <w:t xml:space="preserve">Set a hard cost ceiling on AI inference per user to protect Core-tier unit economics</w:t>
      </w:r>
    </w:p>
    <w:p>
      <w:pPr>
        <w:pStyle w:val="ListParagraph"/>
        <w:numPr>
          <w:ilvl w:val="0"/>
          <w:numId w:val="3"/>
        </w:numPr>
        <w:spacing w:after="70"/>
      </w:pPr>
      <w:r>
        <w:rPr>
          <w:sz w:val="20"/>
          <w:szCs w:val="20"/>
        </w:rPr>
        <w:t xml:space="preserve">Defer all paid acquisition spend until organic referral shows a measurable, repeatable pattern</w:t>
      </w:r>
    </w:p>
    <w:p>
      <w:pPr>
        <w:pStyle w:val="ListParagraph"/>
        <w:numPr>
          <w:ilvl w:val="0"/>
          <w:numId w:val="3"/>
        </w:numPr>
        <w:spacing w:after="70"/>
      </w:pPr>
      <w:r>
        <w:rPr>
          <w:sz w:val="20"/>
          <w:szCs w:val="20"/>
        </w:rPr>
        <w:t xml:space="preserve">Recruit an advisor with direct banking-exam prep experience to close the founder credibility gap</w:t>
      </w:r>
    </w:p>
    <w:p>
      <w:pPr>
        <w:pStyle w:val="ListParagraph"/>
        <w:numPr>
          <w:ilvl w:val="0"/>
          <w:numId w:val="3"/>
        </w:numPr>
        <w:spacing w:after="70"/>
      </w:pPr>
      <w:r>
        <w:rPr>
          <w:sz w:val="20"/>
          <w:szCs w:val="20"/>
        </w:rPr>
        <w:t xml:space="preserve">Re-run this Business Reality Check after the first 15 concierge users — not before</w:t>
      </w:r>
    </w:p>
    <w:p>
      <w:pPr>
        <w:pStyle w:val="Heading1"/>
      </w:pPr>
      <w:r>
        <w:t xml:space="preserve">11. Investment Scorecard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Metric</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Score</w:t>
            </w:r>
          </w:p>
        </w:tc>
        <w:tc>
          <w:tcPr>
            <w:tcW w:type="dxa" w:w="5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Reasoning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Business Viability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55</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Coherent model on paper; core value prop and pricing are unvalidated</w:t>
            </w:r>
          </w:p>
        </w:tc>
      </w:tr>
      <w:tr>
        <w:tc>
          <w:tcPr>
            <w:tcW w:type="dxa" w:w="26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Revenue Potential</w:t>
            </w:r>
          </w:p>
        </w:tc>
        <w:tc>
          <w:tcPr>
            <w:tcW w:type="dxa" w:w="12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50</w:t>
            </w:r>
          </w:p>
        </w:tc>
        <w:tc>
          <w:tcPr>
            <w:tcW w:type="dxa" w:w="5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Plausible subscription + one-time pass mix, but low price point limits early revenue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GTM Strength</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45</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Sound low-cost channel logic, but entirely organic and unproven at any scale</w:t>
            </w:r>
          </w:p>
        </w:tc>
      </w:tr>
      <w:tr>
        <w:tc>
          <w:tcPr>
            <w:tcW w:type="dxa" w:w="26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Competitive Strength</w:t>
            </w:r>
          </w:p>
        </w:tc>
        <w:tc>
          <w:tcPr>
            <w:tcW w:type="dxa" w:w="12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40</w:t>
            </w:r>
          </w:p>
        </w:tc>
        <w:tc>
          <w:tcPr>
            <w:tcW w:type="dxa" w:w="5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Real feature gap vs. incumbents, but thin and closeable within 6–12 months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Investor Readiness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35</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No users, no revenue, no traction data — too early for institutional capital</w:t>
            </w:r>
          </w:p>
        </w:tc>
      </w:tr>
    </w:tbl>
    <w:p>
      <w:pPr>
        <w:spacing w:after="140"/>
      </w:pPr>
      <w:r>
        <w:rPr>
          <w:sz w:val="20"/>
          <w:szCs w:val="20"/>
        </w:rPr>
        <w:t xml:space="preserve">Composite score: 45/100 — consistent with an early-stage idea that has a credible thesis but no evidence yet. This is a normal, expected score at this stage, not a red flag on its own.</w:t>
      </w:r>
    </w:p>
    <w:p>
      <w:pPr>
        <w:pStyle w:val="Heading1"/>
      </w:pPr>
      <w:r>
        <w:t xml:space="preserve">12. Visual Dashboard</w:t>
      </w:r>
    </w:p>
    <w:p>
      <w:pPr>
        <w:spacing w:after="140"/>
      </w:pPr>
      <w:r>
        <w:rPr>
          <w:sz w:val="20"/>
          <w:szCs w:val="20"/>
        </w:rPr>
        <w:t xml:space="preserve">An interactive version of this dashboard was shown alongside this report. Static summary for the PDF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Element</w:t>
            </w:r>
          </w:p>
        </w:tc>
        <w:tc>
          <w:tcPr>
            <w:tcW w:type="dxa" w:w="6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jc w:val="center"/>
            </w:pPr>
            <w:r>
              <w:rPr>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Business 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Diagnostic-first value prop; B2C freemium → subscription; peer-referral distribution</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Revenue Streams</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Free / Core ₹199–299 monthly / Exam Sprint ₹499 one-time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GTM Flow</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Peer discovery → free quiz trial → weak-topic report → paid upgrade pre-exam</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First 100 Users</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Direct recruitment → referral → community expansion → institute co-promotion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Competitive Moat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Thin and early — source-agnostic diagnostic combo, no data/brand moat yet</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Key Risk</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jc w:val="left"/>
            </w:pPr>
            <w:r>
              <w:rPr>
                <w:b w:val="false"/>
                <w:bCs w:val="false"/>
                <w:color w:val="000000"/>
                <w:sz w:val="18"/>
                <w:szCs w:val="18"/>
              </w:rPr>
              <w:t xml:space="preserve">Zero validated willingness to pay for diagnostics alone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Scorecard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000000"/>
                <w:sz w:val="18"/>
                <w:szCs w:val="18"/>
              </w:rPr>
              <w:t xml:space="preserve">Viability 55 / Revenue 50 / GTM 45 / Competitive 40 / Investor Readiness 35</w:t>
            </w:r>
          </w:p>
        </w:tc>
      </w:tr>
    </w:tbl>
    <w:p>
      <w:pPr>
        <w:pStyle w:val="Heading1"/>
      </w:pPr>
      <w:r>
        <w:t xml:space="preserve">13. Final Verdict</w:t>
      </w:r>
    </w:p>
    <w:p>
      <w:pPr>
        <w:shd w:fill="FBF0DA" w:val="clear"/>
        <w:spacing w:after="100" w:before="60"/>
      </w:pPr>
      <w:r>
        <w:rPr>
          <w:b/>
          <w:bCs/>
          <w:color w:val="B8860B"/>
          <w:sz w:val="22"/>
          <w:szCs w:val="22"/>
        </w:rPr>
        <w:t xml:space="preserve">🟡 VALIDATE</w:t>
      </w:r>
    </w:p>
    <w:p>
      <w:pPr>
        <w:spacing w:after="140"/>
      </w:pPr>
      <w:r>
        <w:rPr>
          <w:sz w:val="20"/>
          <w:szCs w:val="20"/>
        </w:rPr>
        <w:t xml:space="preserve">The business model is coherent and the unit economics are plausible in theory, but every revenue-critical assumption — willingness to pay for diagnostics alone, habit formation via nudges, and organic distribution at scale — remains unproven. This is not a Reject: the thesis is sound enough to justify a low-cost validation phase. It is not yet Investable: there is no user, revenue, or retention evidence to underwrite a funding conversation.</w:t>
      </w:r>
    </w:p>
    <w:p>
      <w:pPr>
        <w:pStyle w:val="Heading1"/>
      </w:pPr>
      <w:r>
        <w:t xml:space="preserve">Sustainability Verdict</w:t>
      </w:r>
    </w:p>
    <w:p>
      <w:pPr>
        <w:spacing w:after="140"/>
      </w:pPr>
      <w:r>
        <w:rPr>
          <w:sz w:val="20"/>
          <w:szCs w:val="20"/>
        </w:rPr>
        <w:t xml:space="preserve">This business can plausibly become sustainable, but only if the diagnostic-only value proposition proves it can drive both retention and payment on its own — that is the single load-bearing assumption the entire model rests on. The recommended path is a 60-day validation sprint (manual concierge → lean MVP → direct willingness-to-pay tests) before any GTM spend or fundraising conversation. If the 7-day return rate and paid-conversion thresholds from the Founder Action Sheet are not met, the model should pivot toward a B2B2C coaching-institute distribution strategy rather than continuing direct-to-consumer acquisition.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Business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2026-07-03T09:00:16.473Z</dcterms:created>
  <dcterms:modified xsi:type="dcterms:W3CDTF">2026-07-03T09:00:16.485Z</dcterms:modified>
</cp:coreProperties>
</file>

<file path=docProps/custom.xml><?xml version="1.0" encoding="utf-8"?>
<Properties xmlns="http://schemas.openxmlformats.org/officeDocument/2006/custom-properties" xmlns:vt="http://schemas.openxmlformats.org/officeDocument/2006/docPropsVTypes"/>
</file>