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jc w:val="center"/>
      </w:pPr>
      <w:r>
        <w:rPr>
          <w:b/>
          <w:sz w:val="36"/>
        </w:rPr>
        <w:t>Supplementary Material</w:t>
      </w:r>
    </w:p>
    <w:p>
      <w:pPr>
        <w:jc w:val="center"/>
      </w:pPr>
      <w:r>
        <w:rPr>
          <w:b/>
          <w:sz w:val="26"/>
        </w:rPr>
        <w:t>Evidence-Grounded RAG for G20 Climate-Policy Retrieval, Cited Synthesis and Human-Supervised Gap Screening</w:t>
      </w:r>
    </w:p>
    <w:p>
      <w:pPr>
        <w:jc w:val="center"/>
      </w:pPr>
      <w:r>
        <w:rPr>
          <w:i/>
        </w:rPr>
        <w:t>Detailed methods, screening rules, audit records and full matrices</w:t>
      </w:r>
    </w:p>
    <w:p>
      <w:pPr>
        <w:pStyle w:val="Heading1"/>
      </w:pPr>
      <w:r>
        <w:t>Contents</w:t>
      </w:r>
    </w:p>
    <w:p>
      <w:pPr>
        <w:pStyle w:val="ListParagraph"/>
      </w:pPr>
      <w:r>
        <w:t>S1. G20 membership, entity treatment and corpus cut-off</w:t>
      </w:r>
    </w:p>
    <w:p>
      <w:pPr>
        <w:pStyle w:val="ListParagraph"/>
      </w:pPr>
      <w:r>
        <w:t>S2. Seven policy dimensions and evidence requirements</w:t>
      </w:r>
    </w:p>
    <w:p>
      <w:pPr>
        <w:pStyle w:val="ListParagraph"/>
      </w:pPr>
      <w:r>
        <w:t>S3. D5 Loss and Damage qualitative checklist</w:t>
      </w:r>
    </w:p>
    <w:p>
      <w:pPr>
        <w:pStyle w:val="ListParagraph"/>
      </w:pPr>
      <w:r>
        <w:t>S4. Candidate screening score and class rules</w:t>
      </w:r>
    </w:p>
    <w:p>
      <w:pPr>
        <w:pStyle w:val="ListParagraph"/>
      </w:pPr>
      <w:r>
        <w:t>S5. Metric and temporal harmonisation rules</w:t>
      </w:r>
    </w:p>
    <w:p>
      <w:pPr>
        <w:pStyle w:val="ListParagraph"/>
      </w:pPr>
      <w:r>
        <w:t>S6. Model backends, no-RAG settings and prompt templates</w:t>
      </w:r>
    </w:p>
    <w:p>
      <w:pPr>
        <w:pStyle w:val="ListParagraph"/>
      </w:pPr>
      <w:r>
        <w:t>S7. Evaluation-set composition and single-reviewer audit</w:t>
      </w:r>
    </w:p>
    <w:p>
      <w:pPr>
        <w:pStyle w:val="ListParagraph"/>
      </w:pPr>
      <w:r>
        <w:t>S8. Claim-rate definitions, bootstrap design and archived aggregate results</w:t>
      </w:r>
    </w:p>
    <w:p>
      <w:pPr>
        <w:pStyle w:val="ListParagraph"/>
      </w:pPr>
      <w:r>
        <w:t>S9. Seven-mode diagnostic taxonomy</w:t>
      </w:r>
    </w:p>
    <w:p>
      <w:pPr>
        <w:pStyle w:val="ListParagraph"/>
      </w:pPr>
      <w:r>
        <w:t>S10. Heatmap review sample and formal eight-cell metrics</w:t>
      </w:r>
    </w:p>
    <w:p>
      <w:pPr>
        <w:pStyle w:val="ListParagraph"/>
      </w:pPr>
      <w:r>
        <w:t>S11. Formal eight-cell confusion matrix and 35-cell diagnostic status</w:t>
      </w:r>
    </w:p>
    <w:p>
      <w:pPr>
        <w:pStyle w:val="ListParagraph"/>
      </w:pPr>
      <w:r>
        <w:t>S12. Category-level answer-quality results</w:t>
      </w:r>
    </w:p>
    <w:p>
      <w:pPr>
        <w:pStyle w:val="ListParagraph"/>
      </w:pPr>
      <w:r>
        <w:t>S13. Full 119-cell numerical screening matrix</w:t>
      </w:r>
    </w:p>
    <w:p>
      <w:pPr>
        <w:pStyle w:val="ListParagraph"/>
      </w:pPr>
      <w:r>
        <w:t>S14. D6 Transport original outputs and 17-cell source audit</w:t>
      </w:r>
    </w:p>
    <w:p>
      <w:pPr>
        <w:pStyle w:val="ListParagraph"/>
      </w:pPr>
      <w:r>
        <w:t>S15. Repository contents and reproducibility status</w:t>
      </w:r>
    </w:p>
    <w:p>
      <w:pPr>
        <w:pStyle w:val="Heading1"/>
      </w:pPr>
      <w:r>
        <w:t>S1. G20 Membership, Entity Treatment and Corpus Cut-off</w:t>
      </w:r>
    </w:p>
    <w:p>
      <w:r>
        <w:t>The main analysis uses 17 NDC-based analytical entities. The detailed membership and treatment table is reproduced below; the document cut-off is 1 March 2024.</w:t>
      </w:r>
    </w:p>
    <w:p>
      <w:pPr>
        <w:spacing w:before="120" w:after="60"/>
      </w:pPr>
      <w:r>
        <w:rPr>
          <w:b/>
        </w:rPr>
        <w:t>Supplementary Table S1. G20 membership and NDC analytical coverage.</w:t>
      </w:r>
    </w:p>
    <w:tbl>
      <w:tblPr>
        <w:tblW w:w="10349" w:type="dxa"/>
        <w:jc w:val="center"/>
        <w:tblInd w:w="-28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985"/>
        <w:gridCol w:w="2506"/>
        <w:gridCol w:w="1038"/>
        <w:gridCol w:w="1985"/>
        <w:gridCol w:w="2835"/>
      </w:tblGrid>
      <w:tr w:rsidR="001513A6" w14:paraId="242E96E4" w14:textId="77777777" w:rsidTr="001513A6">
        <w:trPr>
          <w:tblHeader/>
          <w:tblHeader w:val="true"/>
        </w:trPr>
        <w:tc>
          <w:tcPr>
            <w:tcW w:w="1985"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5887997F" w14:textId="77777777" w:rsidR="001513A6" w:rsidRDefault="001513A6" w:rsidP="00786156">
            <w:pPr>
              <w:spacing w:before="0" w:after="0"/>
              <w:jc w:val="both"/>
            </w:pPr>
            <w:r>
              <w:rPr>
                <w:rFonts w:ascii="Times New Roman" w:hAnsi="Times New Roman"/>
                <w:b/>
                <w:bCs/>
                <w:sz w:val="13"/>
              </w:rPr>
              <w:t>G20 country/entity</w:t>
            </w:r>
          </w:p>
        </w:tc>
        <w:tc>
          <w:tcPr>
            <w:tcW w:w="2506"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65189372" w14:textId="77777777" w:rsidR="001513A6" w:rsidRDefault="001513A6" w:rsidP="00786156">
            <w:pPr>
              <w:spacing w:before="0" w:after="0"/>
              <w:jc w:val="both"/>
            </w:pPr>
            <w:r>
              <w:rPr>
                <w:rFonts w:ascii="Times New Roman" w:hAnsi="Times New Roman"/>
                <w:b/>
                <w:bCs/>
                <w:sz w:val="13"/>
              </w:rPr>
              <w:t>NDC representation used</w:t>
            </w:r>
          </w:p>
        </w:tc>
        <w:tc>
          <w:tcPr>
            <w:tcW w:w="1038"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7ADD7558" w14:textId="77777777" w:rsidR="001513A6" w:rsidRDefault="001513A6" w:rsidP="00786156">
            <w:pPr>
              <w:spacing w:before="0" w:after="0"/>
              <w:jc w:val="both"/>
            </w:pPr>
            <w:r>
              <w:rPr>
                <w:rFonts w:ascii="Times New Roman" w:hAnsi="Times New Roman"/>
                <w:b/>
                <w:bCs/>
                <w:sz w:val="13"/>
              </w:rPr>
              <w:t>Separate Figure 2 row?</w:t>
            </w:r>
          </w:p>
        </w:tc>
        <w:tc>
          <w:tcPr>
            <w:tcW w:w="1985"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CEBB79E" w14:textId="77777777" w:rsidR="001513A6" w:rsidRDefault="001513A6" w:rsidP="00786156">
            <w:pPr>
              <w:spacing w:before="0" w:after="0"/>
              <w:jc w:val="both"/>
            </w:pPr>
            <w:r>
              <w:rPr>
                <w:rFonts w:ascii="Times New Roman" w:hAnsi="Times New Roman"/>
                <w:b/>
                <w:bCs/>
                <w:sz w:val="13"/>
              </w:rPr>
              <w:t>Analytical status</w:t>
            </w:r>
          </w:p>
        </w:tc>
        <w:tc>
          <w:tcPr>
            <w:tcW w:w="2835"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9EFEB9D" w14:textId="77777777" w:rsidR="001513A6" w:rsidRDefault="001513A6" w:rsidP="00786156">
            <w:pPr>
              <w:spacing w:before="0" w:after="0"/>
              <w:jc w:val="both"/>
            </w:pPr>
            <w:r>
              <w:rPr>
                <w:rFonts w:ascii="Times New Roman" w:hAnsi="Times New Roman"/>
                <w:b/>
                <w:bCs/>
                <w:sz w:val="13"/>
              </w:rPr>
              <w:t>Treatment and rationale</w:t>
            </w:r>
          </w:p>
        </w:tc>
      </w:tr>
      <w:tr w:rsidR="001513A6" w14:paraId="625330A1"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A5F6CCA" w14:textId="77777777" w:rsidR="001513A6" w:rsidRDefault="001513A6" w:rsidP="00786156">
            <w:pPr>
              <w:spacing w:before="0" w:after="0"/>
              <w:jc w:val="both"/>
            </w:pPr>
            <w:r>
              <w:rPr>
                <w:rFonts w:ascii="Times New Roman" w:hAnsi="Times New Roman"/>
                <w:sz w:val="13"/>
              </w:rPr>
              <w:t>Argentina</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9DD518F"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A8E9C10"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C05E5BC"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94B218E"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4DFD0D6D"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C7D8DD8" w14:textId="77777777" w:rsidR="001513A6" w:rsidRDefault="001513A6" w:rsidP="00786156">
            <w:pPr>
              <w:spacing w:before="0" w:after="0"/>
              <w:jc w:val="both"/>
            </w:pPr>
            <w:r>
              <w:rPr>
                <w:rFonts w:ascii="Times New Roman" w:hAnsi="Times New Roman"/>
                <w:sz w:val="13"/>
              </w:rPr>
              <w:t>Australia</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7B76CE3"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02D91D01"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E3A6F5A"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02CEAE30"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4B4BB364"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FF8EBF5" w14:textId="77777777" w:rsidR="001513A6" w:rsidRDefault="001513A6" w:rsidP="00786156">
            <w:pPr>
              <w:spacing w:before="0" w:after="0"/>
              <w:jc w:val="both"/>
            </w:pPr>
            <w:r>
              <w:rPr>
                <w:rFonts w:ascii="Times New Roman" w:hAnsi="Times New Roman"/>
                <w:sz w:val="13"/>
              </w:rPr>
              <w:t>Brazil</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B81134A"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1CDA5F7"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964FBC0"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21ADAE1"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47834056"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322DF25F" w14:textId="77777777" w:rsidR="001513A6" w:rsidRDefault="001513A6" w:rsidP="00786156">
            <w:pPr>
              <w:spacing w:before="0" w:after="0"/>
              <w:jc w:val="both"/>
            </w:pPr>
            <w:r>
              <w:rPr>
                <w:rFonts w:ascii="Times New Roman" w:hAnsi="Times New Roman"/>
                <w:sz w:val="13"/>
              </w:rPr>
              <w:t>Canada</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7B807B2"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A0C01B1"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9A9CED3"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270413B"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5C88F05A"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147FD29" w14:textId="77777777" w:rsidR="001513A6" w:rsidRDefault="001513A6" w:rsidP="00786156">
            <w:pPr>
              <w:spacing w:before="0" w:after="0"/>
              <w:jc w:val="both"/>
            </w:pPr>
            <w:r>
              <w:rPr>
                <w:rFonts w:ascii="Times New Roman" w:hAnsi="Times New Roman"/>
                <w:sz w:val="13"/>
              </w:rPr>
              <w:t>China</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1C7C02D"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7242D41"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1E8E538"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EAE3736"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5CF373FB"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0C79A675" w14:textId="77777777" w:rsidR="001513A6" w:rsidRDefault="001513A6" w:rsidP="00786156">
            <w:pPr>
              <w:spacing w:before="0" w:after="0"/>
              <w:jc w:val="both"/>
            </w:pPr>
            <w:r>
              <w:rPr>
                <w:rFonts w:ascii="Times New Roman" w:hAnsi="Times New Roman"/>
                <w:sz w:val="13"/>
              </w:rPr>
              <w:t>France</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31F3905A" w14:textId="77777777" w:rsidR="001513A6" w:rsidRDefault="001513A6" w:rsidP="00786156">
            <w:pPr>
              <w:spacing w:before="0" w:after="0"/>
              <w:jc w:val="both"/>
            </w:pPr>
            <w:r>
              <w:rPr>
                <w:rFonts w:ascii="Times New Roman" w:hAnsi="Times New Roman"/>
                <w:sz w:val="13"/>
              </w:rPr>
              <w:t>Joint EU and Member States NDC</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7F588DC" w14:textId="77777777" w:rsidR="001513A6" w:rsidRDefault="001513A6" w:rsidP="00786156">
            <w:pPr>
              <w:spacing w:before="0" w:after="0"/>
              <w:jc w:val="both"/>
            </w:pPr>
            <w:r>
              <w:rPr>
                <w:rFonts w:ascii="Times New Roman" w:hAnsi="Times New Roman"/>
                <w:sz w:val="13"/>
              </w:rPr>
              <w:t>No</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1905AA7" w14:textId="77777777" w:rsidR="001513A6" w:rsidRDefault="001513A6" w:rsidP="00786156">
            <w:pPr>
              <w:spacing w:before="0" w:after="0"/>
              <w:jc w:val="both"/>
            </w:pPr>
            <w:r>
              <w:rPr>
                <w:rFonts w:ascii="Times New Roman" w:hAnsi="Times New Roman"/>
                <w:sz w:val="13"/>
              </w:rPr>
              <w:t>Represented through EU</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9F2A6BD" w14:textId="77777777" w:rsidR="001513A6" w:rsidRDefault="001513A6" w:rsidP="00786156">
            <w:pPr>
              <w:spacing w:before="0" w:after="0"/>
              <w:jc w:val="both"/>
            </w:pPr>
            <w:r>
              <w:rPr>
                <w:rFonts w:ascii="Times New Roman" w:hAnsi="Times New Roman"/>
                <w:sz w:val="13"/>
              </w:rPr>
              <w:t>Within the EU NDC’s geographical scope; no separate France classification produced</w:t>
            </w:r>
          </w:p>
        </w:tc>
      </w:tr>
      <w:tr w:rsidR="001513A6" w14:paraId="2205ADBE"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2B53D6D" w14:textId="77777777" w:rsidR="001513A6" w:rsidRDefault="001513A6" w:rsidP="00786156">
            <w:pPr>
              <w:spacing w:before="0" w:after="0"/>
              <w:jc w:val="both"/>
            </w:pPr>
            <w:r>
              <w:rPr>
                <w:rFonts w:ascii="Times New Roman" w:hAnsi="Times New Roman"/>
                <w:sz w:val="13"/>
              </w:rPr>
              <w:t>Germany</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E023EE2" w14:textId="77777777" w:rsidR="001513A6" w:rsidRDefault="001513A6" w:rsidP="00786156">
            <w:pPr>
              <w:spacing w:before="0" w:after="0"/>
              <w:jc w:val="both"/>
            </w:pPr>
            <w:r>
              <w:rPr>
                <w:rFonts w:ascii="Times New Roman" w:hAnsi="Times New Roman"/>
                <w:sz w:val="13"/>
              </w:rPr>
              <w:t>Joint EU and Member States NDC</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7335E76" w14:textId="77777777" w:rsidR="001513A6" w:rsidRDefault="001513A6" w:rsidP="00786156">
            <w:pPr>
              <w:spacing w:before="0" w:after="0"/>
              <w:jc w:val="both"/>
            </w:pPr>
            <w:r>
              <w:rPr>
                <w:rFonts w:ascii="Times New Roman" w:hAnsi="Times New Roman"/>
                <w:sz w:val="13"/>
              </w:rPr>
              <w:t>No</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8BBB719" w14:textId="77777777" w:rsidR="001513A6" w:rsidRDefault="001513A6" w:rsidP="00786156">
            <w:pPr>
              <w:spacing w:before="0" w:after="0"/>
              <w:jc w:val="both"/>
            </w:pPr>
            <w:r>
              <w:rPr>
                <w:rFonts w:ascii="Times New Roman" w:hAnsi="Times New Roman"/>
                <w:sz w:val="13"/>
              </w:rPr>
              <w:t>Represented through EU</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46C18F0" w14:textId="77777777" w:rsidR="001513A6" w:rsidRDefault="001513A6" w:rsidP="00786156">
            <w:pPr>
              <w:spacing w:before="0" w:after="0"/>
              <w:jc w:val="both"/>
            </w:pPr>
            <w:r>
              <w:rPr>
                <w:rFonts w:ascii="Times New Roman" w:hAnsi="Times New Roman"/>
                <w:sz w:val="13"/>
              </w:rPr>
              <w:t>Within the EU NDC’s geographical scope; no separate Germany classification produced</w:t>
            </w:r>
          </w:p>
        </w:tc>
      </w:tr>
      <w:tr w:rsidR="001513A6" w14:paraId="580DE59D"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4EE723D8" w14:textId="77777777" w:rsidR="001513A6" w:rsidRDefault="001513A6" w:rsidP="00786156">
            <w:pPr>
              <w:spacing w:before="0" w:after="0"/>
              <w:jc w:val="both"/>
            </w:pPr>
            <w:r>
              <w:rPr>
                <w:rFonts w:ascii="Times New Roman" w:hAnsi="Times New Roman"/>
                <w:sz w:val="13"/>
              </w:rPr>
              <w:t>India</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456FCCC"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82CE417"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D373939"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A9B04A4"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5978E44A"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82E904D" w14:textId="77777777" w:rsidR="001513A6" w:rsidRDefault="001513A6" w:rsidP="00786156">
            <w:pPr>
              <w:spacing w:before="0" w:after="0"/>
              <w:jc w:val="both"/>
            </w:pPr>
            <w:r>
              <w:rPr>
                <w:rFonts w:ascii="Times New Roman" w:hAnsi="Times New Roman"/>
                <w:sz w:val="13"/>
              </w:rPr>
              <w:lastRenderedPageBreak/>
              <w:t>Indonesia</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D62B2C4"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E70C60B"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76A80B7"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BD8DBE6"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2FA30A24"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0DDACDA4" w14:textId="77777777" w:rsidR="001513A6" w:rsidRDefault="001513A6" w:rsidP="00786156">
            <w:pPr>
              <w:spacing w:before="0" w:after="0"/>
              <w:jc w:val="both"/>
            </w:pPr>
            <w:r>
              <w:rPr>
                <w:rFonts w:ascii="Times New Roman" w:hAnsi="Times New Roman"/>
                <w:sz w:val="13"/>
              </w:rPr>
              <w:t>Italy</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E0FCF7E" w14:textId="77777777" w:rsidR="001513A6" w:rsidRDefault="001513A6" w:rsidP="00786156">
            <w:pPr>
              <w:spacing w:before="0" w:after="0"/>
              <w:jc w:val="both"/>
            </w:pPr>
            <w:r>
              <w:rPr>
                <w:rFonts w:ascii="Times New Roman" w:hAnsi="Times New Roman"/>
                <w:sz w:val="13"/>
              </w:rPr>
              <w:t>Joint EU and Member States NDC</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F97D01D" w14:textId="77777777" w:rsidR="001513A6" w:rsidRDefault="001513A6" w:rsidP="00786156">
            <w:pPr>
              <w:spacing w:before="0" w:after="0"/>
              <w:jc w:val="both"/>
            </w:pPr>
            <w:r>
              <w:rPr>
                <w:rFonts w:ascii="Times New Roman" w:hAnsi="Times New Roman"/>
                <w:sz w:val="13"/>
              </w:rPr>
              <w:t>No</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E17E357" w14:textId="77777777" w:rsidR="001513A6" w:rsidRDefault="001513A6" w:rsidP="00786156">
            <w:pPr>
              <w:spacing w:before="0" w:after="0"/>
              <w:jc w:val="both"/>
            </w:pPr>
            <w:r>
              <w:rPr>
                <w:rFonts w:ascii="Times New Roman" w:hAnsi="Times New Roman"/>
                <w:sz w:val="13"/>
              </w:rPr>
              <w:t>Represented through EU</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57975A4" w14:textId="77777777" w:rsidR="001513A6" w:rsidRDefault="001513A6" w:rsidP="00786156">
            <w:pPr>
              <w:spacing w:before="0" w:after="0"/>
              <w:jc w:val="both"/>
            </w:pPr>
            <w:r>
              <w:rPr>
                <w:rFonts w:ascii="Times New Roman" w:hAnsi="Times New Roman"/>
                <w:sz w:val="13"/>
              </w:rPr>
              <w:t>Within the EU NDC’s geographical scope; no separate Italy classification produced</w:t>
            </w:r>
          </w:p>
        </w:tc>
      </w:tr>
      <w:tr w:rsidR="001513A6" w14:paraId="3A07F9D8"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CC8E0B2" w14:textId="77777777" w:rsidR="001513A6" w:rsidRDefault="001513A6" w:rsidP="00786156">
            <w:pPr>
              <w:spacing w:before="0" w:after="0"/>
              <w:jc w:val="both"/>
            </w:pPr>
            <w:r>
              <w:rPr>
                <w:rFonts w:ascii="Times New Roman" w:hAnsi="Times New Roman"/>
                <w:sz w:val="13"/>
              </w:rPr>
              <w:t>Japan</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160C96E"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91C66B6"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19D4795"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9CFF571"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28A00F2A"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F08AECE" w14:textId="77777777" w:rsidR="001513A6" w:rsidRDefault="001513A6" w:rsidP="00786156">
            <w:pPr>
              <w:spacing w:before="0" w:after="0"/>
              <w:jc w:val="both"/>
            </w:pPr>
            <w:r>
              <w:rPr>
                <w:rFonts w:ascii="Times New Roman" w:hAnsi="Times New Roman"/>
                <w:sz w:val="13"/>
              </w:rPr>
              <w:t>Mexico</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B26FEC8"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20938B7"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46D19A46"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72184871"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72C44FD1"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F727854" w14:textId="77777777" w:rsidR="001513A6" w:rsidRDefault="001513A6" w:rsidP="00786156">
            <w:pPr>
              <w:spacing w:before="0" w:after="0"/>
              <w:jc w:val="both"/>
            </w:pPr>
            <w:r>
              <w:rPr>
                <w:rFonts w:ascii="Times New Roman" w:hAnsi="Times New Roman"/>
                <w:sz w:val="13"/>
              </w:rPr>
              <w:t>Russian Federation</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57EFF98"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4200BDC"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C73E61E"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54FD5A7"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55299303"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7036F132" w14:textId="77777777" w:rsidR="001513A6" w:rsidRDefault="001513A6" w:rsidP="00786156">
            <w:pPr>
              <w:spacing w:before="0" w:after="0"/>
              <w:jc w:val="both"/>
            </w:pPr>
            <w:r>
              <w:rPr>
                <w:rFonts w:ascii="Times New Roman" w:hAnsi="Times New Roman"/>
                <w:sz w:val="13"/>
              </w:rPr>
              <w:t>Saudi Arabia</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06CFF724"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7348C9CF"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4A731112"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3B62B795"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60461B35"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6F9C9A9" w14:textId="77777777" w:rsidR="001513A6" w:rsidRDefault="001513A6" w:rsidP="00786156">
            <w:pPr>
              <w:spacing w:before="0" w:after="0"/>
              <w:jc w:val="both"/>
            </w:pPr>
            <w:r>
              <w:rPr>
                <w:rFonts w:ascii="Times New Roman" w:hAnsi="Times New Roman"/>
                <w:sz w:val="13"/>
              </w:rPr>
              <w:t>South Africa</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7BA1DA1"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A0F7D09"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F3C8A0D"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088EF03"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07C0DD2B"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7C8EA747" w14:textId="77777777" w:rsidR="002F703B" w:rsidRDefault="00000000">
            <w:pPr>
              <w:spacing w:before="0" w:after="0"/>
              <w:jc w:val="both"/>
            </w:pPr>
            <w:r>
              <w:rPr>
                <w:rFonts w:ascii="Times New Roman" w:hAnsi="Times New Roman"/>
                <w:sz w:val="13"/>
              </w:rPr>
              <w:t>South Korea</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07B445A2"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9E00EA0"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39DE180"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AE0A905" w14:textId="77777777" w:rsidR="002F703B" w:rsidRDefault="00000000">
            <w:pPr>
              <w:spacing w:before="0" w:after="0"/>
              <w:jc w:val="both"/>
            </w:pPr>
            <w:r>
              <w:rPr>
                <w:rFonts w:ascii="Times New Roman" w:hAnsi="Times New Roman"/>
                <w:sz w:val="13"/>
              </w:rPr>
              <w:t>Included as one national analytical entity</w:t>
            </w:r>
          </w:p>
        </w:tc>
      </w:tr>
      <w:tr w:rsidR="001513A6" w14:paraId="00A0E1B0"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CF15E84" w14:textId="77777777" w:rsidR="001513A6" w:rsidRDefault="001513A6" w:rsidP="00786156">
            <w:pPr>
              <w:spacing w:before="0" w:after="0"/>
              <w:jc w:val="both"/>
            </w:pPr>
            <w:r>
              <w:rPr>
                <w:rFonts w:ascii="Times New Roman" w:hAnsi="Times New Roman"/>
                <w:sz w:val="13"/>
              </w:rPr>
              <w:t>Türkiye</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2C3A1A8" w14:textId="77777777" w:rsidR="001513A6" w:rsidRDefault="001513A6" w:rsidP="00786156">
            <w:pPr>
              <w:spacing w:before="0" w:after="0"/>
              <w:jc w:val="both"/>
            </w:pPr>
            <w:r>
              <w:rPr>
                <w:rFonts w:ascii="Times New Roman" w:hAnsi="Times New Roman"/>
                <w:sz w:val="13"/>
              </w:rPr>
              <w:t>Updated first NDC submitted in April 2023</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61D6A3F"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181BFE9"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9AC435C" w14:textId="77777777" w:rsidR="001513A6" w:rsidRDefault="001513A6" w:rsidP="00786156">
            <w:pPr>
              <w:spacing w:before="0" w:after="0"/>
              <w:jc w:val="both"/>
            </w:pPr>
            <w:r>
              <w:rPr>
                <w:rFonts w:ascii="Times New Roman" w:hAnsi="Times New Roman"/>
                <w:sz w:val="13"/>
              </w:rPr>
              <w:t>No second NDC was available by the cut-off; evaluated using the updated first NDC</w:t>
            </w:r>
          </w:p>
        </w:tc>
      </w:tr>
      <w:tr w:rsidR="001513A6" w14:paraId="35B6A527"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36FED86E" w14:textId="77777777" w:rsidR="001513A6" w:rsidRDefault="001513A6" w:rsidP="00786156">
            <w:pPr>
              <w:spacing w:before="0" w:after="0"/>
              <w:jc w:val="both"/>
            </w:pPr>
            <w:r>
              <w:rPr>
                <w:rFonts w:ascii="Times New Roman" w:hAnsi="Times New Roman"/>
                <w:sz w:val="13"/>
              </w:rPr>
              <w:t>United Kingdom</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9C1D657"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4C48BFDD"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DF56F95"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BC668FD"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6439A82B" w14:textId="77777777" w:rsidTr="001513A6">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AEA8ABB" w14:textId="77777777" w:rsidR="001513A6" w:rsidRDefault="001513A6" w:rsidP="00786156">
            <w:pPr>
              <w:spacing w:before="0" w:after="0"/>
              <w:jc w:val="both"/>
            </w:pPr>
            <w:r>
              <w:rPr>
                <w:rFonts w:ascii="Times New Roman" w:hAnsi="Times New Roman"/>
                <w:sz w:val="13"/>
              </w:rPr>
              <w:lastRenderedPageBreak/>
              <w:t>United States</w:t>
            </w:r>
          </w:p>
        </w:tc>
        <w:tc>
          <w:tcPr>
            <w:tcW w:w="2506"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2D8FF4D" w14:textId="77777777" w:rsidR="001513A6" w:rsidRDefault="001513A6" w:rsidP="00786156">
            <w:pPr>
              <w:spacing w:before="0" w:after="0"/>
              <w:jc w:val="both"/>
            </w:pPr>
            <w:r>
              <w:rPr>
                <w:rFonts w:ascii="Times New Roman" w:hAnsi="Times New Roman"/>
                <w:sz w:val="13"/>
              </w:rPr>
              <w:t>National NDC submission; latest official version available by the cut-off used for scoring</w:t>
            </w:r>
          </w:p>
        </w:tc>
        <w:tc>
          <w:tcPr>
            <w:tcW w:w="1038"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9C6FEDE"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22C78F2" w14:textId="77777777" w:rsidR="001513A6" w:rsidRDefault="001513A6" w:rsidP="00786156">
            <w:pPr>
              <w:spacing w:before="0" w:after="0"/>
              <w:jc w:val="both"/>
            </w:pPr>
            <w:r>
              <w:rPr>
                <w:rFonts w:ascii="Times New Roman" w:hAnsi="Times New Roman"/>
                <w:sz w:val="13"/>
              </w:rPr>
              <w:t>Assessed separately</w:t>
            </w:r>
          </w:p>
        </w:tc>
        <w:tc>
          <w:tcPr>
            <w:tcW w:w="2835"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F289DC7" w14:textId="77777777" w:rsidR="001513A6" w:rsidRDefault="001513A6" w:rsidP="00786156">
            <w:pPr>
              <w:spacing w:before="0" w:after="0"/>
              <w:jc w:val="both"/>
            </w:pPr>
            <w:r>
              <w:rPr>
                <w:rFonts w:ascii="Times New Roman" w:hAnsi="Times New Roman"/>
                <w:sz w:val="13"/>
              </w:rPr>
              <w:t>Included as one national analytical entity</w:t>
            </w:r>
          </w:p>
        </w:tc>
      </w:tr>
      <w:tr w:rsidR="001513A6" w14:paraId="5E457DD8" w14:textId="77777777" w:rsidTr="001513A6">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2F56166" w14:textId="77777777" w:rsidR="001513A6" w:rsidRDefault="001513A6" w:rsidP="00786156">
            <w:pPr>
              <w:spacing w:before="0" w:after="0"/>
              <w:jc w:val="both"/>
            </w:pPr>
            <w:r>
              <w:rPr>
                <w:rFonts w:ascii="Times New Roman" w:hAnsi="Times New Roman"/>
                <w:sz w:val="13"/>
              </w:rPr>
              <w:t>European Union</w:t>
            </w:r>
          </w:p>
        </w:tc>
        <w:tc>
          <w:tcPr>
            <w:tcW w:w="2506"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AA64F7B" w14:textId="77777777" w:rsidR="001513A6" w:rsidRDefault="001513A6" w:rsidP="00786156">
            <w:pPr>
              <w:spacing w:before="0" w:after="0"/>
              <w:jc w:val="both"/>
            </w:pPr>
            <w:r>
              <w:rPr>
                <w:rFonts w:ascii="Times New Roman" w:hAnsi="Times New Roman"/>
                <w:sz w:val="13"/>
              </w:rPr>
              <w:t>Joint NDC of the EU and its Member States</w:t>
            </w:r>
          </w:p>
        </w:tc>
        <w:tc>
          <w:tcPr>
            <w:tcW w:w="1038"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09442230" w14:textId="77777777" w:rsidR="001513A6" w:rsidRDefault="001513A6" w:rsidP="00786156">
            <w:pPr>
              <w:spacing w:before="0" w:after="0"/>
              <w:jc w:val="both"/>
            </w:pPr>
            <w:r>
              <w:rPr>
                <w:rFonts w:ascii="Times New Roman" w:hAnsi="Times New Roman"/>
                <w:sz w:val="13"/>
              </w:rPr>
              <w:t>Yes</w:t>
            </w:r>
          </w:p>
        </w:tc>
        <w:tc>
          <w:tcPr>
            <w:tcW w:w="198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5E0529F" w14:textId="77777777" w:rsidR="001513A6" w:rsidRDefault="001513A6" w:rsidP="00786156">
            <w:pPr>
              <w:spacing w:before="0" w:after="0"/>
              <w:jc w:val="both"/>
            </w:pPr>
            <w:r>
              <w:rPr>
                <w:rFonts w:ascii="Times New Roman" w:hAnsi="Times New Roman"/>
                <w:sz w:val="13"/>
              </w:rPr>
              <w:t>Assessed as one joint entity</w:t>
            </w:r>
          </w:p>
        </w:tc>
        <w:tc>
          <w:tcPr>
            <w:tcW w:w="2835"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9CE66AA" w14:textId="77777777" w:rsidR="001513A6" w:rsidRDefault="001513A6" w:rsidP="00786156">
            <w:pPr>
              <w:spacing w:before="0" w:after="0"/>
              <w:jc w:val="both"/>
            </w:pPr>
            <w:r>
              <w:rPr>
                <w:rFonts w:ascii="Times New Roman" w:hAnsi="Times New Roman"/>
                <w:sz w:val="13"/>
              </w:rPr>
              <w:t>EU-wide classification; represents the joint target, including France, Germany and Italy, but does not produce separate national results</w:t>
            </w:r>
          </w:p>
        </w:tc>
      </w:tr>
      <w:tr w:rsidR="002F703B" w14:paraId="21F1DA6B" w14:textId="77777777">
        <w:tc>
          <w:tcPr>
            <w:tcW w:w="1985" w:type="dxa"/>
            <w:vAlign w:val="center"/>
          </w:tcPr>
          <w:p w14:paraId="2AF9AB80" w14:textId="77777777" w:rsidR="002F703B" w:rsidRDefault="00000000">
            <w:pPr>
              <w:spacing w:after="0" w:before="0"/>
            </w:pPr>
            <w:r>
              <w:rPr>
                <w:rFonts w:ascii="Times New Roman" w:hAnsi="Times New Roman"/>
                <w:sz w:val="13"/>
              </w:rPr>
              <w:t>African Union</w:t>
            </w:r>
          </w:p>
        </w:tc>
        <w:tc>
          <w:tcPr>
            <w:tcW w:w="2506" w:type="dxa"/>
            <w:vAlign w:val="center"/>
          </w:tcPr>
          <w:p w14:paraId="473513C8" w14:textId="77777777" w:rsidR="002F703B" w:rsidRDefault="00000000">
            <w:pPr>
              <w:spacing w:after="0" w:before="0"/>
            </w:pPr>
            <w:r>
              <w:rPr>
                <w:rFonts w:ascii="Times New Roman" w:hAnsi="Times New Roman"/>
                <w:sz w:val="13"/>
              </w:rPr>
              <w:t>No single AU-level NDC included in the Party-level UNFCCC corpus</w:t>
            </w:r>
          </w:p>
        </w:tc>
        <w:tc>
          <w:tcPr>
            <w:tcW w:w="1038" w:type="dxa"/>
            <w:vAlign w:val="center"/>
          </w:tcPr>
          <w:p w14:paraId="5A44C808" w14:textId="77777777" w:rsidR="002F703B" w:rsidRDefault="00000000">
            <w:pPr>
              <w:spacing w:after="0" w:before="0"/>
            </w:pPr>
            <w:r>
              <w:rPr>
                <w:rFonts w:ascii="Times New Roman" w:hAnsi="Times New Roman"/>
                <w:sz w:val="13"/>
              </w:rPr>
              <w:t>No</w:t>
            </w:r>
          </w:p>
        </w:tc>
        <w:tc>
          <w:tcPr>
            <w:tcW w:w="1985" w:type="dxa"/>
            <w:vAlign w:val="center"/>
          </w:tcPr>
          <w:p w14:paraId="1BBAB5B9" w14:textId="77777777" w:rsidR="002F703B" w:rsidRDefault="00000000">
            <w:pPr>
              <w:spacing w:after="0" w:before="0"/>
            </w:pPr>
            <w:r>
              <w:rPr>
                <w:rFonts w:ascii="Times New Roman" w:hAnsi="Times New Roman"/>
                <w:sz w:val="13"/>
              </w:rPr>
              <w:t>Outside analytical scope</w:t>
            </w:r>
          </w:p>
        </w:tc>
        <w:tc>
          <w:tcPr>
            <w:tcW w:w="2835" w:type="dxa"/>
            <w:vAlign w:val="center"/>
          </w:tcPr>
          <w:p w14:paraId="64DA3360" w14:textId="77777777" w:rsidR="002F703B" w:rsidRDefault="00000000">
            <w:pPr>
              <w:spacing w:after="0" w:before="0"/>
            </w:pPr>
            <w:r>
              <w:rPr>
                <w:rFonts w:ascii="Times New Roman" w:hAnsi="Times New Roman"/>
                <w:sz w:val="13"/>
              </w:rPr>
              <w:t>Permanent G20 member by the cut-off; not evaluated because the study used Party-level NDC submissions and no single AU-level NDC.</w:t>
            </w:r>
          </w:p>
        </w:tc>
      </w:tr>
    </w:tbl>
    <w:p>
      <w:pPr>
        <w:pStyle w:val="Heading1"/>
      </w:pPr>
      <w:r>
        <w:t>S2. Seven Policy Dimensions and Evidence Requirements</w:t>
      </w:r>
    </w:p>
    <w:p>
      <w:r>
        <w:t>The same D1-D7 labels and evidence requirements are used across extraction, screening, reporting and supplementary files.</w:t>
      </w:r>
    </w:p>
    <w:p>
      <w:pPr>
        <w:spacing w:before="120" w:after="60"/>
      </w:pPr>
      <w:r>
        <w:rPr>
          <w:b/>
        </w:rPr>
        <w:t>Supplementary Table S2. Canonical seven-dimension policy schema.</w:t>
      </w:r>
    </w:p>
    <w:tbl>
      <w:tblPr>
        <w:tblW w:w="936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445"/>
        <w:gridCol w:w="2091"/>
        <w:gridCol w:w="2478"/>
        <w:gridCol w:w="2505"/>
        <w:gridCol w:w="1841"/>
      </w:tblGrid>
      <w:tr w:rsidR="000A3FB3" w14:paraId="78ACBF25" w14:textId="77777777">
        <w:trPr>
          <w:cantSplit/>
          <w:tblHeader/>
          <w:tblHeader w:val="true"/>
        </w:trPr>
        <w:tc>
          <w:tcPr>
            <w:tcW w:w="8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2A56D915" w14:textId="77777777" w:rsidR="000A3FB3" w:rsidRDefault="00000000" w:rsidP="00786156">
            <w:pPr>
              <w:spacing w:before="0" w:after="0"/>
              <w:jc w:val="both"/>
            </w:pPr>
            <w:r>
              <w:rPr>
                <w:rFonts w:ascii="Times New Roman" w:hAnsi="Times New Roman"/>
                <w:b/>
                <w:bCs/>
                <w:color w:val="000000"/>
                <w:sz w:val="13"/>
                <w:szCs w:val="20"/>
              </w:rPr>
              <w:t>#</w:t>
            </w:r>
          </w:p>
        </w:tc>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60D2CE79" w14:textId="77777777" w:rsidR="000A3FB3" w:rsidRDefault="00000000" w:rsidP="00786156">
            <w:pPr>
              <w:spacing w:before="0" w:after="0"/>
              <w:jc w:val="both"/>
            </w:pPr>
            <w:r>
              <w:rPr>
                <w:rFonts w:ascii="Times New Roman" w:hAnsi="Times New Roman"/>
                <w:b/>
                <w:bCs/>
                <w:color w:val="000000"/>
                <w:sz w:val="13"/>
                <w:szCs w:val="20"/>
              </w:rPr>
              <w:t>Policy Dimension</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247DB9D" w14:textId="77777777" w:rsidR="000A3FB3" w:rsidRDefault="00000000" w:rsidP="00786156">
            <w:pPr>
              <w:spacing w:before="0" w:after="0"/>
              <w:jc w:val="both"/>
            </w:pPr>
            <w:r>
              <w:rPr>
                <w:rFonts w:ascii="Times New Roman" w:hAnsi="Times New Roman"/>
                <w:b/>
                <w:bCs/>
                <w:color w:val="000000"/>
                <w:sz w:val="13"/>
                <w:szCs w:val="20"/>
              </w:rPr>
              <w:t>Evidence Extracted (Pass 1)</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69C0DFD6" w14:textId="77777777" w:rsidR="002F703B" w:rsidRDefault="00000000">
            <w:pPr>
              <w:spacing w:before="0" w:after="0"/>
              <w:jc w:val="both"/>
            </w:pPr>
            <w:r>
              <w:rPr>
                <w:rFonts w:ascii="Times New Roman" w:hAnsi="Times New Roman"/>
                <w:b/>
                <w:bCs/>
                <w:color w:val="000000"/>
                <w:sz w:val="13"/>
                <w:szCs w:val="20"/>
              </w:rPr>
              <w:t>Scientific / policy reference (Pass 2)</w:t>
            </w:r>
          </w:p>
        </w:tc>
        <w:tc>
          <w:tcPr>
            <w:tcW w:w="188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275811B9" w14:textId="77777777" w:rsidR="000A3FB3" w:rsidRDefault="00000000" w:rsidP="00786156">
            <w:pPr>
              <w:spacing w:before="0" w:after="0"/>
              <w:jc w:val="both"/>
            </w:pPr>
            <w:r>
              <w:rPr>
                <w:rFonts w:ascii="Times New Roman" w:hAnsi="Times New Roman"/>
                <w:b/>
                <w:bCs/>
                <w:color w:val="000000"/>
                <w:sz w:val="13"/>
                <w:szCs w:val="20"/>
              </w:rPr>
              <w:t>Permitted Comparison and NR Rule</w:t>
            </w:r>
          </w:p>
        </w:tc>
      </w:tr>
      <w:tr w:rsidR="000A3FB3" w14:paraId="4BCD0A15" w14:textId="77777777">
        <w:trPr>
          <w:cantSplit/>
        </w:trPr>
        <w:tc>
          <w:tcPr>
            <w:tcW w:w="8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62DDF96" w14:textId="77777777" w:rsidR="000A3FB3" w:rsidRDefault="00000000" w:rsidP="00786156">
            <w:pPr>
              <w:spacing w:before="0" w:after="0"/>
              <w:jc w:val="both"/>
            </w:pPr>
            <w:r>
              <w:rPr>
                <w:rFonts w:ascii="Times New Roman" w:hAnsi="Times New Roman"/>
                <w:color w:val="000000"/>
                <w:sz w:val="13"/>
                <w:szCs w:val="20"/>
              </w:rPr>
              <w:t>D1</w:t>
            </w:r>
          </w:p>
        </w:tc>
        <w:tc>
          <w:tcPr>
            <w:tcW w:w="2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8E73BC1" w14:textId="77777777" w:rsidR="000A3FB3" w:rsidRDefault="00000000" w:rsidP="00786156">
            <w:pPr>
              <w:spacing w:before="0" w:after="0"/>
              <w:jc w:val="both"/>
            </w:pPr>
            <w:r>
              <w:rPr>
                <w:rFonts w:ascii="Times New Roman" w:hAnsi="Times New Roman"/>
                <w:b/>
                <w:bCs/>
                <w:color w:val="000000"/>
                <w:sz w:val="13"/>
                <w:szCs w:val="20"/>
              </w:rPr>
              <w:t>Renewable Energy Targets</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9EC5924" w14:textId="77777777" w:rsidR="000A3FB3" w:rsidRDefault="00000000" w:rsidP="00786156">
            <w:pPr>
              <w:spacing w:before="0" w:after="0"/>
              <w:jc w:val="both"/>
            </w:pPr>
            <w:r>
              <w:rPr>
                <w:rFonts w:ascii="Times New Roman" w:hAnsi="Times New Roman"/>
                <w:color w:val="000000"/>
                <w:sz w:val="13"/>
                <w:szCs w:val="20"/>
              </w:rPr>
              <w:t>Share of renewable/non-fossil installed capacity or electricity by target year; conditionality; baseline year</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B24A7FF" w14:textId="77777777" w:rsidR="002F703B" w:rsidRDefault="00000000">
            <w:pPr>
              <w:spacing w:before="0" w:after="0"/>
              <w:jc w:val="both"/>
            </w:pPr>
            <w:r>
              <w:rPr>
                <w:rFonts w:ascii="Times New Roman" w:hAnsi="Times New Roman"/>
                <w:sz w:val="13"/>
              </w:rPr>
              <w:t>Low- and zero-carbon sources supply 97–99% of global electricity by 2050 in 1.5°C pathways with no or limited overshoot and 93–97% in pathways likely to limit warming below 2°C; global electricity-sector CO₂ reaches net zero around 2045–2055 in 1.5°C pathways.</w:t>
            </w:r>
          </w:p>
        </w:tc>
        <w:tc>
          <w:tcPr>
            <w:tcW w:w="188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84DCD63" w14:textId="77777777" w:rsidR="002F703B" w:rsidRDefault="00000000">
            <w:pPr>
              <w:spacing w:before="0" w:after="0"/>
              <w:jc w:val="both"/>
            </w:pPr>
            <w:r>
              <w:rPr>
                <w:rFonts w:ascii="Times New Roman" w:hAnsi="Times New Roman"/>
                <w:color w:val="000000"/>
                <w:sz w:val="13"/>
                <w:szCs w:val="20"/>
              </w:rPr>
              <w:t>A numerical comparison is permitted only for year- and metric-matched renewable-electricity generation shares. Capacity, non-fossil capacity, primary energy and generation share are not interchangeable. Without a documented conversion, use a Qualitative Only checklist score where evidence supports a directional judgement; otherwise classify NR.</w:t>
            </w:r>
          </w:p>
        </w:tc>
      </w:tr>
      <w:tr w:rsidR="000A3FB3">
        <w:trPr>
          <w:cantSplit/>
        </w:trPr>
        <w:tc>
          <w:tcPr>
            <w:tcW w:w="9360" w:type="dxa"/>
            <w:gridSpan w:val="5"/>
            <w:tcBorders>
              <w:top w:val="single" w:sz="4" w:space="0" w:color="AAAAAA"/>
              <w:left w:val="single" w:sz="4" w:space="0" w:color="AAAAAA"/>
              <w:bottom w:val="single" w:sz="4" w:space="0" w:color="AAAAAA"/>
              <w:right w:val="single" w:sz="4" w:space="0" w:color="AAAAAA"/>
            </w:tcBorders>
            <w:shd w:val="clear" w:color="auto" w:fill="FFF9E6"/>
            <w:tcMar>
              <w:top w:w="72" w:type="dxa"/>
              <w:left w:w="100" w:type="dxa"/>
              <w:bottom w:w="72" w:type="dxa"/>
              <w:right w:w="100" w:type="dxa"/>
            </w:tcMar>
            <w:vAlign w:val="center"/>
          </w:tcPr>
          <w:p>
            <w:pPr>
              <w:spacing w:before="0" w:after="0"/>
              <w:jc w:val="both"/>
            </w:pPr>
            <w:r>
              <w:rPr>
                <w:rFonts w:ascii="Times New Roman" w:hAnsi="Times New Roman"/>
                <w:i/>
                <w:iCs/>
                <w:sz w:val="13"/>
              </w:rPr>
              <w:t xml:space="preserve">D5 interpretation: Any numerical value displayed for Loss and Damage is an ordinal checklist-derived screening score. It is not a quantified distance from an IPCC AR6 WGIII benchmark.</w:t>
            </w:r>
          </w:p>
        </w:tc>
      </w:tr>
      <w:tr w:rsidR="000A3FB3" w14:paraId="7FCDA508" w14:textId="77777777">
        <w:trPr>
          <w:cantSplit/>
        </w:trPr>
        <w:tc>
          <w:tcPr>
            <w:tcW w:w="8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408AD89" w14:textId="77777777" w:rsidR="000A3FB3" w:rsidRDefault="00000000" w:rsidP="00786156">
            <w:pPr>
              <w:spacing w:before="0" w:after="0"/>
              <w:jc w:val="both"/>
            </w:pPr>
            <w:r>
              <w:rPr>
                <w:rFonts w:ascii="Times New Roman" w:hAnsi="Times New Roman"/>
                <w:color w:val="000000"/>
                <w:sz w:val="13"/>
                <w:szCs w:val="20"/>
              </w:rPr>
              <w:t>D2</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BF61572" w14:textId="77777777" w:rsidR="000A3FB3" w:rsidRDefault="00000000" w:rsidP="00786156">
            <w:pPr>
              <w:spacing w:before="0" w:after="0"/>
              <w:jc w:val="both"/>
            </w:pPr>
            <w:r>
              <w:rPr>
                <w:rFonts w:ascii="Times New Roman" w:hAnsi="Times New Roman"/>
                <w:b/>
                <w:bCs/>
                <w:color w:val="000000"/>
                <w:sz w:val="13"/>
                <w:szCs w:val="20"/>
              </w:rPr>
              <w:t>Net Zero Pathway</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AA1847E" w14:textId="77777777" w:rsidR="000A3FB3" w:rsidRDefault="00000000" w:rsidP="00786156">
            <w:pPr>
              <w:spacing w:before="0" w:after="0"/>
              <w:jc w:val="both"/>
            </w:pPr>
            <w:r>
              <w:rPr>
                <w:rFonts w:ascii="Times New Roman" w:hAnsi="Times New Roman"/>
                <w:color w:val="000000"/>
                <w:sz w:val="13"/>
                <w:szCs w:val="20"/>
              </w:rPr>
              <w:t>Net-zero target year; gases covered (CO₂ only or all GHGs); sectors included; conditionality</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41649397" w14:textId="77777777" w:rsidR="002F703B" w:rsidRDefault="00000000">
            <w:pPr>
              <w:spacing w:before="0" w:after="0"/>
              <w:jc w:val="both"/>
            </w:pPr>
            <w:r>
              <w:rPr>
                <w:rFonts w:ascii="Times New Roman" w:hAnsi="Times New Roman"/>
                <w:color w:val="000000"/>
                <w:sz w:val="13"/>
                <w:szCs w:val="20"/>
              </w:rPr>
              <w:t>Global GHG emissions fall by about 43% from 2019 levels by 2030 in 1.5°C pathways; global net CO₂ reaches zero around the early 2050s.</w:t>
            </w:r>
          </w:p>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4A7EDC13" w14:textId="77777777" w:rsidR="000A3FB3" w:rsidRDefault="00000000" w:rsidP="00786156">
            <w:pPr>
              <w:spacing w:before="0" w:after="0"/>
              <w:jc w:val="both"/>
            </w:pPr>
            <w:r>
              <w:rPr>
                <w:rFonts w:ascii="Times New Roman" w:hAnsi="Times New Roman"/>
                <w:color w:val="000000"/>
                <w:sz w:val="13"/>
                <w:szCs w:val="20"/>
              </w:rPr>
              <w:t>A 2030 national emissions target may be compared only with a 2030 pathway benchmark after conversion to a common baseline and emissions scope. A net-zero target year may be compared separately with the IPCC net-zero-CO₂ timing around 2050. A 2030 percentage target must not be subtracted from a 2050 endpoint.</w:t>
            </w:r>
          </w:p>
        </w:tc>
      </w:tr>
      <w:tr w:rsidR="000A3FB3" w14:paraId="08A8A484" w14:textId="77777777">
        <w:trPr>
          <w:cantSplit/>
        </w:trPr>
        <w:tc>
          <w:tcPr>
            <w:tcW w:w="8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F4125D6" w14:textId="77777777" w:rsidR="000A3FB3" w:rsidRDefault="00000000" w:rsidP="00786156">
            <w:pPr>
              <w:spacing w:before="0" w:after="0"/>
              <w:jc w:val="both"/>
            </w:pPr>
            <w:r>
              <w:rPr>
                <w:rFonts w:ascii="Times New Roman" w:hAnsi="Times New Roman"/>
                <w:color w:val="000000"/>
                <w:sz w:val="13"/>
                <w:szCs w:val="20"/>
              </w:rPr>
              <w:lastRenderedPageBreak/>
              <w:t>D3</w:t>
            </w:r>
          </w:p>
        </w:tc>
        <w:tc>
          <w:tcPr>
            <w:tcW w:w="2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1553505" w14:textId="77777777" w:rsidR="000A3FB3" w:rsidRDefault="00000000" w:rsidP="00786156">
            <w:pPr>
              <w:spacing w:before="0" w:after="0"/>
              <w:jc w:val="both"/>
            </w:pPr>
            <w:r>
              <w:rPr>
                <w:rFonts w:ascii="Times New Roman" w:hAnsi="Times New Roman"/>
                <w:b/>
                <w:bCs/>
                <w:color w:val="000000"/>
                <w:sz w:val="13"/>
                <w:szCs w:val="20"/>
              </w:rPr>
              <w:t>Methane Reduction</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CDFD616" w14:textId="77777777" w:rsidR="000A3FB3" w:rsidRDefault="00000000" w:rsidP="00786156">
            <w:pPr>
              <w:spacing w:before="0" w:after="0"/>
              <w:jc w:val="both"/>
            </w:pPr>
            <w:r>
              <w:rPr>
                <w:rFonts w:ascii="Times New Roman" w:hAnsi="Times New Roman"/>
                <w:color w:val="000000"/>
                <w:sz w:val="13"/>
                <w:szCs w:val="20"/>
              </w:rPr>
              <w:t>Specific methane commitment; percentage reduction; baseline; sector scope</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224D898" w14:textId="77777777" w:rsidR="002F703B" w:rsidRDefault="00000000">
            <w:pPr>
              <w:spacing w:before="0" w:after="0"/>
              <w:jc w:val="both"/>
            </w:pPr>
            <w:r>
              <w:rPr>
                <w:rFonts w:ascii="Times New Roman" w:hAnsi="Times New Roman"/>
                <w:color w:val="000000"/>
                <w:sz w:val="13"/>
                <w:szCs w:val="20"/>
              </w:rPr>
              <w:t>AR6 identifies rapid and sustained methane reductions as a critical near-term mitigation lever; a numerical comparison requires a year-, baseline- and scope-matched methane target.</w:t>
            </w:r>
          </w:p>
        </w:tc>
        <w:tc>
          <w:tcPr>
            <w:tcW w:w="188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A960774" w14:textId="77777777" w:rsidR="002F703B" w:rsidRDefault="00000000">
            <w:pPr>
              <w:spacing w:before="0" w:after="0"/>
              <w:jc w:val="both"/>
            </w:pPr>
            <w:r>
              <w:rPr>
                <w:rFonts w:ascii="Times New Roman" w:hAnsi="Times New Roman"/>
                <w:color w:val="000000"/>
                <w:sz w:val="13"/>
                <w:szCs w:val="20"/>
              </w:rPr>
              <w:t>A quantitative comparison requires an explicit methane target with compatible baseline, year and scope. Aggregate GHG targets are not treated as methane percentages. Where methane-specific evidence is qualitative, use the checklist; otherwise classify Absent or NR as appropriate.</w:t>
            </w:r>
          </w:p>
        </w:tc>
      </w:tr>
      <w:tr w:rsidR="000A3FB3" w14:paraId="61181FB5" w14:textId="77777777">
        <w:trPr>
          <w:cantSplit/>
        </w:trPr>
        <w:tc>
          <w:tcPr>
            <w:tcW w:w="8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48BC1858" w14:textId="77777777" w:rsidR="000A3FB3" w:rsidRDefault="00000000" w:rsidP="00786156">
            <w:pPr>
              <w:spacing w:before="0" w:after="0"/>
              <w:jc w:val="both"/>
            </w:pPr>
            <w:r>
              <w:rPr>
                <w:rFonts w:ascii="Times New Roman" w:hAnsi="Times New Roman"/>
                <w:color w:val="000000"/>
                <w:sz w:val="13"/>
                <w:szCs w:val="20"/>
              </w:rPr>
              <w:t>D4</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72FED13D" w14:textId="77777777" w:rsidR="000A3FB3" w:rsidRDefault="00000000" w:rsidP="00786156">
            <w:pPr>
              <w:spacing w:before="0" w:after="0"/>
              <w:jc w:val="both"/>
            </w:pPr>
            <w:r>
              <w:rPr>
                <w:rFonts w:ascii="Times New Roman" w:hAnsi="Times New Roman"/>
                <w:b/>
                <w:bCs/>
                <w:color w:val="000000"/>
                <w:sz w:val="13"/>
                <w:szCs w:val="20"/>
              </w:rPr>
              <w:t>Adaptation Finance</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34AE193B" w14:textId="77777777" w:rsidR="000A3FB3" w:rsidRDefault="00000000" w:rsidP="00786156">
            <w:pPr>
              <w:spacing w:before="0" w:after="0"/>
              <w:jc w:val="both"/>
            </w:pPr>
            <w:r>
              <w:rPr>
                <w:rFonts w:ascii="Times New Roman" w:hAnsi="Times New Roman"/>
                <w:color w:val="000000"/>
                <w:sz w:val="13"/>
                <w:szCs w:val="20"/>
              </w:rPr>
              <w:t>Quantified finance needs or commitments; conditionality on international flows</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60AC0E1" w14:textId="77777777" w:rsidR="002F703B" w:rsidRDefault="00000000">
            <w:pPr>
              <w:spacing w:before="0" w:after="0"/>
              <w:jc w:val="both"/>
            </w:pPr>
            <w:r>
              <w:rPr>
                <w:rFonts w:ascii="Times New Roman" w:hAnsi="Times New Roman"/>
                <w:color w:val="000000"/>
                <w:sz w:val="13"/>
                <w:szCs w:val="20"/>
              </w:rPr>
              <w:t>No single country-level quantitative AR6 benchmark is used. The qualitative reference checks whether a finance need or commitment, period, mechanism and conditionality are explicit and internally distinguishable.</w:t>
            </w:r>
          </w:p>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3596466A" w14:textId="77777777" w:rsidR="000A3FB3" w:rsidRDefault="00000000" w:rsidP="00786156">
            <w:pPr>
              <w:spacing w:before="0" w:after="0"/>
              <w:jc w:val="both"/>
            </w:pPr>
            <w:r>
              <w:rPr>
                <w:rFonts w:ascii="Times New Roman" w:hAnsi="Times New Roman"/>
                <w:color w:val="000000"/>
                <w:sz w:val="13"/>
                <w:szCs w:val="20"/>
              </w:rPr>
              <w:t>Finance needs, promises, allocations and actual disbursements are separate variables. They are assessed using the qualitative evidence checklist and must not be subtracted from one another as equivalent monetary commitments.</w:t>
            </w:r>
          </w:p>
        </w:tc>
      </w:tr>
      <w:tr w:rsidR="000A3FB3" w14:paraId="739E3534" w14:textId="77777777">
        <w:trPr>
          <w:cantSplit/>
        </w:trPr>
        <w:tc>
          <w:tcPr>
            <w:tcW w:w="8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5853C5D" w14:textId="77777777" w:rsidR="000A3FB3" w:rsidRDefault="00000000" w:rsidP="00786156">
            <w:pPr>
              <w:spacing w:before="0" w:after="0"/>
              <w:jc w:val="both"/>
            </w:pPr>
            <w:r>
              <w:rPr>
                <w:rFonts w:ascii="Times New Roman" w:hAnsi="Times New Roman"/>
                <w:color w:val="000000"/>
                <w:sz w:val="13"/>
                <w:szCs w:val="20"/>
              </w:rPr>
              <w:t>D5</w:t>
            </w:r>
          </w:p>
        </w:tc>
        <w:tc>
          <w:tcPr>
            <w:tcW w:w="2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369C548" w14:textId="77777777" w:rsidR="000A3FB3" w:rsidRDefault="00000000" w:rsidP="00786156">
            <w:pPr>
              <w:spacing w:before="0" w:after="0"/>
              <w:jc w:val="both"/>
            </w:pPr>
            <w:r>
              <w:rPr>
                <w:rFonts w:ascii="Times New Roman" w:hAnsi="Times New Roman"/>
                <w:b/>
                <w:bCs/>
                <w:color w:val="000000"/>
                <w:sz w:val="13"/>
                <w:szCs w:val="20"/>
              </w:rPr>
              <w:t>Loss and Damage</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BC21A9F" w14:textId="77777777" w:rsidR="000A3FB3" w:rsidRDefault="00000000" w:rsidP="00786156">
            <w:pPr>
              <w:spacing w:before="0" w:after="0"/>
              <w:jc w:val="both"/>
            </w:pPr>
            <w:r>
              <w:rPr>
                <w:rFonts w:ascii="Times New Roman" w:hAnsi="Times New Roman"/>
                <w:color w:val="000000"/>
                <w:sz w:val="13"/>
                <w:szCs w:val="20"/>
              </w:rPr>
              <w:t>Explicit acknowledgement of Loss and Damage impacts or needs; quantified need or contribution where stated; treatment distinct from adaptation finance; institutional, funding or operational mechanism; financing source and conditionality.</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08419D5" w14:textId="77777777" w:rsidR="002F703B" w:rsidRDefault="00000000">
            <w:pPr>
              <w:spacing w:before="0" w:after="0"/>
              <w:jc w:val="both"/>
            </w:pPr>
            <w:r>
              <w:rPr>
                <w:rFonts w:ascii="Times New Roman" w:hAnsi="Times New Roman"/>
                <w:color w:val="000000"/>
                <w:sz w:val="13"/>
                <w:szCs w:val="20"/>
              </w:rPr>
              <w:t>No single quantitative IPCC AR6 WGIII benchmark is used. D5 is assessed using a pre-specified qualitative climate-policy reference checklist covering explicit acknowledgement, specificity of need or contribution, distinct institutional or financial treatment, and an operational response mechanism.</w:t>
            </w:r>
          </w:p>
        </w:tc>
        <w:tc>
          <w:tcPr>
            <w:tcW w:w="188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6DFD294" w14:textId="77777777" w:rsidR="000A3FB3" w:rsidRDefault="00000000" w:rsidP="00786156">
            <w:pPr>
              <w:spacing w:before="0" w:after="0"/>
              <w:jc w:val="both"/>
            </w:pPr>
            <w:r>
              <w:rPr>
                <w:rFonts w:ascii="Times New Roman" w:hAnsi="Times New Roman"/>
                <w:color w:val="000000"/>
                <w:sz w:val="13"/>
                <w:szCs w:val="20"/>
              </w:rPr>
              <w:t xml:space="preserve">All D5 cells use Qualitative Only mode. No percentage-point, monetary-shortfall or arithmetic IPCC benchmark gap is calculated. Finance values may be recorded descriptively but are not subtracted from an IPCC threshold. Where no qualifying D5 commitment is found, classify Absent. Where relevant evidence exists but is too ambiguous for a defensible checklist judgement, classify NR.</w:t>
            </w:r>
          </w:p>
        </w:tc>
      </w:tr>
      <w:tr w:rsidR="000A3FB3" w14:paraId="51092D15" w14:textId="77777777">
        <w:trPr>
          <w:cantSplit/>
        </w:trPr>
        <w:tc>
          <w:tcPr>
            <w:tcW w:w="8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76C09FF" w14:textId="77777777" w:rsidR="000A3FB3" w:rsidRDefault="00000000" w:rsidP="00786156">
            <w:pPr>
              <w:spacing w:before="0" w:after="0"/>
              <w:jc w:val="both"/>
            </w:pPr>
            <w:r>
              <w:rPr>
                <w:rFonts w:ascii="Times New Roman" w:hAnsi="Times New Roman"/>
                <w:color w:val="000000"/>
                <w:sz w:val="13"/>
                <w:szCs w:val="20"/>
              </w:rPr>
              <w:lastRenderedPageBreak/>
              <w:t>D6</w:t>
            </w:r>
          </w:p>
        </w:tc>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6C84A17" w14:textId="77777777" w:rsidR="000A3FB3" w:rsidRDefault="00000000" w:rsidP="00786156">
            <w:pPr>
              <w:spacing w:before="0" w:after="0"/>
              <w:jc w:val="both"/>
            </w:pPr>
            <w:r>
              <w:rPr>
                <w:rFonts w:ascii="Times New Roman" w:hAnsi="Times New Roman"/>
                <w:b/>
                <w:bCs/>
                <w:color w:val="000000"/>
                <w:sz w:val="13"/>
                <w:szCs w:val="20"/>
              </w:rPr>
              <w:t>Transport Sector Targets</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CCF0EA6" w14:textId="77777777" w:rsidR="000A3FB3" w:rsidRDefault="00000000" w:rsidP="00786156">
            <w:pPr>
              <w:spacing w:before="0" w:after="0"/>
              <w:jc w:val="both"/>
            </w:pPr>
            <w:r>
              <w:rPr>
                <w:rFonts w:ascii="Times New Roman" w:hAnsi="Times New Roman"/>
                <w:color w:val="000000"/>
                <w:sz w:val="13"/>
                <w:szCs w:val="20"/>
              </w:rPr>
              <w:t>Electrification targets or modal-shift commitments; target year; conditionality</w:t>
            </w:r>
          </w:p>
        </w:tc>
        <w:tc>
          <w:tcPr>
            <w:tcW w:w="26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E71DC48" w14:textId="77777777" w:rsidR="002F703B" w:rsidRDefault="00000000">
            <w:pPr>
              <w:spacing w:before="0" w:after="0"/>
              <w:jc w:val="both"/>
            </w:pPr>
            <w:r>
              <w:rPr>
                <w:rFonts w:ascii="Times New Roman" w:hAnsi="Times New Roman"/>
                <w:color w:val="000000"/>
                <w:sz w:val="13"/>
                <w:szCs w:val="20"/>
              </w:rPr>
              <w:t>In 1.5°C pathways, global transport-related CO₂ emissions fall by a median 59% by 2050 relative to modelled 2020 emissions, with a 42–68% interquartile range; some illustrative pathways reach reductions of 80–90%.</w:t>
            </w:r>
          </w:p>
        </w:tc>
        <w:tc>
          <w:tcPr>
            <w:tcW w:w="188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11C983D" w14:textId="77777777" w:rsidR="002F703B" w:rsidRDefault="00000000">
            <w:pPr>
              <w:spacing w:before="0" w:after="0"/>
              <w:jc w:val="both"/>
            </w:pPr>
            <w:r>
              <w:rPr>
                <w:rFonts w:ascii="Times New Roman" w:hAnsi="Times New Roman"/>
                <w:color w:val="000000"/>
                <w:sz w:val="13"/>
                <w:szCs w:val="20"/>
              </w:rPr>
              <w:t>A total transport-emissions target may be compared numerically only where baseline, year and scope match. EV-sales, vehicle-stock and modal-shift targets require a documented emissions model. Without one, use a Qualitative Only checklist score where defensible; otherwise classify NR. Directional electrification, EV-adoption or modal-shift language alone cannot support an Aligned classification. An Aligned D6 label requires either a compatible quantified total transport-emissions target or sufficiently complete qualitative evidence containing a defined target, target year, sectoral scope and implementation mechanism.</w:t>
            </w:r>
          </w:p>
        </w:tc>
      </w:tr>
      <w:tr w:rsidR="000A3FB3" w14:paraId="68F3FBDD" w14:textId="77777777">
        <w:trPr>
          <w:cantSplit/>
        </w:trPr>
        <w:tc>
          <w:tcPr>
            <w:tcW w:w="8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8135F0F" w14:textId="77777777" w:rsidR="000A3FB3" w:rsidRDefault="00000000" w:rsidP="00786156">
            <w:pPr>
              <w:spacing w:before="0" w:after="0"/>
              <w:jc w:val="both"/>
            </w:pPr>
            <w:r>
              <w:rPr>
                <w:rFonts w:ascii="Times New Roman" w:hAnsi="Times New Roman"/>
                <w:color w:val="000000"/>
                <w:sz w:val="13"/>
                <w:szCs w:val="20"/>
              </w:rPr>
              <w:t>D7</w:t>
            </w:r>
          </w:p>
        </w:tc>
        <w:tc>
          <w:tcPr>
            <w:tcW w:w="2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A32B9E2" w14:textId="77777777" w:rsidR="000A3FB3" w:rsidRDefault="00000000" w:rsidP="00786156">
            <w:pPr>
              <w:spacing w:before="0" w:after="0"/>
              <w:jc w:val="both"/>
            </w:pPr>
            <w:r>
              <w:rPr>
                <w:rFonts w:ascii="Times New Roman" w:hAnsi="Times New Roman"/>
                <w:b/>
                <w:bCs/>
                <w:color w:val="000000"/>
                <w:sz w:val="13"/>
                <w:szCs w:val="20"/>
              </w:rPr>
              <w:t>LULUCF and Carbon Sinks</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7120179" w14:textId="77777777" w:rsidR="000A3FB3" w:rsidRDefault="00000000" w:rsidP="00786156">
            <w:pPr>
              <w:spacing w:before="0" w:after="0"/>
              <w:jc w:val="both"/>
            </w:pPr>
            <w:r>
              <w:rPr>
                <w:rFonts w:ascii="Times New Roman" w:hAnsi="Times New Roman"/>
                <w:color w:val="000000"/>
                <w:sz w:val="13"/>
                <w:szCs w:val="20"/>
              </w:rPr>
              <w:t>Quantified land-use commitments; offset accounting; additionality claims</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8CF47CA" w14:textId="77777777" w:rsidR="002F703B" w:rsidRDefault="00000000">
            <w:pPr>
              <w:spacing w:before="0" w:after="0"/>
              <w:jc w:val="both"/>
            </w:pPr>
            <w:r>
              <w:rPr>
                <w:rFonts w:ascii="Times New Roman" w:hAnsi="Times New Roman"/>
                <w:color w:val="000000"/>
                <w:sz w:val="13"/>
                <w:szCs w:val="20"/>
              </w:rPr>
              <w:t>AR6 supports durable enhancement of land-sector sinks and transparent accounting. Numerical comparison requires compatible land categories, baselines, boundaries and treatment of offsets.</w:t>
            </w:r>
          </w:p>
        </w:tc>
        <w:tc>
          <w:tcPr>
            <w:tcW w:w="188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301D924" w14:textId="77777777" w:rsidR="002F703B" w:rsidRDefault="00000000">
            <w:pPr>
              <w:spacing w:before="0" w:after="0"/>
              <w:jc w:val="both"/>
            </w:pPr>
            <w:r>
              <w:rPr>
                <w:rFonts w:ascii="Times New Roman" w:hAnsi="Times New Roman"/>
                <w:color w:val="000000"/>
                <w:sz w:val="13"/>
                <w:szCs w:val="20"/>
              </w:rPr>
              <w:t>Numerical comparison requires compatible land categories, baselines, boundaries and offset treatment. Without harmonisation, use a Qualitative Only checklist score where the evidence supports a judgement; otherwise classify NR.</w:t>
            </w:r>
          </w:p>
        </w:tc>
      </w:tr>
    </w:tbl>
    <w:p>
      <w:pPr>
        <w:pStyle w:val="Heading1"/>
      </w:pPr>
      <w:r>
        <w:t>S3. D5 Loss and Damage Qualitative Checklist</w:t>
      </w:r>
    </w:p>
    <w:p>
      <w:r>
        <w:t>D5 uses Qualitative Only mode. No arithmetic IPCC WGIII benchmark gap is calculated; monetary values are descriptive evidence only.</w:t>
      </w:r>
    </w:p>
    <w:p>
      <w:pPr>
        <w:spacing w:before="120" w:after="60"/>
      </w:pPr>
      <w:r>
        <w:rPr>
          <w:b/>
        </w:rPr>
        <w:t>Supplementary Table S3a. D5 evidence checklist.</w:t>
      </w:r>
    </w:p>
    <w:tbl>
      <w:tblPr>
        <w:tblW w:w="936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1800"/>
        <w:gridCol w:w="7560"/>
      </w:tblGrid>
      <w:tr>
        <w:trPr>
          <w:cantSplit/>
          <w:tblHeader/>
          <w:tblHeader w:val="true"/>
        </w:trPr>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pPr>
              <w:spacing w:before="0" w:after="0"/>
              <w:jc w:val="both"/>
            </w:pPr>
            <w:r>
              <w:rPr>
                <w:rFonts w:ascii="Times New Roman" w:hAnsi="Times New Roman"/>
                <w:b/>
                <w:bCs/>
                <w:sz w:val="15"/>
                <w:szCs w:val="19"/>
              </w:rPr>
              <w:t xml:space="preserve">Element</w:t>
            </w:r>
          </w:p>
        </w:tc>
        <w:tc>
          <w:tcPr>
            <w:tcW w:w="756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pPr>
              <w:spacing w:before="0" w:after="0"/>
              <w:jc w:val="both"/>
            </w:pPr>
            <w:r>
              <w:rPr>
                <w:rFonts w:ascii="Times New Roman" w:hAnsi="Times New Roman"/>
                <w:b/>
                <w:bCs/>
                <w:sz w:val="15"/>
                <w:szCs w:val="19"/>
              </w:rPr>
              <w:t xml:space="preserve">D5 evidence test</w:t>
            </w:r>
          </w:p>
        </w:tc>
      </w:tr>
      <w:tr>
        <w:trPr>
          <w:cantSplit/>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E1 Explicit acknowledgement</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Does the NDC explicitly acknowledge Loss and Damage impacts, needs or policy treatment?</w:t>
            </w:r>
          </w:p>
        </w:tc>
      </w:tr>
      <w:tr>
        <w:trPr>
          <w:cantSplit/>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E2 Specificity</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Does it state a quantified need, contribution, affected sector, geographic scope or defined action?</w:t>
            </w:r>
          </w:p>
        </w:tc>
      </w:tr>
      <w:tr>
        <w:trPr>
          <w:cantSplit/>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E3 Distinct treatment</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Is Loss and Damage distinguished from general adaptation or resilience language?</w:t>
            </w:r>
          </w:p>
        </w:tc>
      </w:tr>
      <w:tr>
        <w:trPr>
          <w:cantSplit/>
        </w:trPr>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E4 Operational mechanism</w:t>
            </w:r>
          </w:p>
        </w:tc>
        <w:tc>
          <w:tcPr>
            <w:tcW w:w="756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Does it identify a fund, institution, implementation mechanism, financing arrangement or responsible process?</w:t>
            </w:r>
          </w:p>
        </w:tc>
      </w:tr>
    </w:tbl>
    <w:p>
      <w:pPr>
        <w:spacing w:before="120" w:after="60"/>
      </w:pPr>
      <w:r>
        <w:rPr>
          <w:b/>
        </w:rPr>
        <w:t>Supplementary Table S3b. D5 checklist-to-score mapping.</w:t>
      </w:r>
    </w:p>
    <w:tbl>
      <w:tblPr>
        <w:tblW w:w="936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4680"/>
        <w:gridCol w:w="4680"/>
      </w:tblGrid>
      <w:tr>
        <w:trPr>
          <w:cantSplit/>
          <w:tblHeader/>
          <w:tblHeader w:val="true"/>
        </w:trPr>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pPr>
              <w:spacing w:before="0" w:after="0"/>
              <w:jc w:val="both"/>
            </w:pPr>
            <w:r>
              <w:rPr>
                <w:rFonts w:ascii="Times New Roman" w:hAnsi="Times New Roman"/>
                <w:b/>
                <w:bCs/>
                <w:sz w:val="15"/>
                <w:szCs w:val="19"/>
              </w:rPr>
              <w:t xml:space="preserve">Evidence coverage</w:t>
            </w:r>
          </w:p>
        </w:tc>
        <w:tc>
          <w:tcPr>
            <w:tcW w:w="468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pPr>
              <w:spacing w:before="0" w:after="0"/>
              <w:jc w:val="both"/>
            </w:pPr>
            <w:r>
              <w:rPr>
                <w:rFonts w:ascii="Times New Roman" w:hAnsi="Times New Roman"/>
                <w:b/>
                <w:bCs/>
                <w:sz w:val="15"/>
                <w:szCs w:val="19"/>
              </w:rPr>
              <w:t xml:space="preserve">Base checklist score B</w:t>
            </w:r>
          </w:p>
        </w:tc>
      </w:tr>
      <w:tr>
        <w:trPr>
          <w:cantSplit/>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All four elements present and explicit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0.00–0.20</w:t>
            </w:r>
          </w:p>
        </w:tc>
      </w:tr>
      <w:tr>
        <w:trPr>
          <w:cantSplit/>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Three elements present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0.40</w:t>
            </w:r>
          </w:p>
        </w:tc>
      </w:tr>
      <w:tr>
        <w:trPr>
          <w:cantSplit/>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Two elements present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0.60</w:t>
            </w:r>
          </w:p>
        </w:tc>
      </w:tr>
      <w:tr>
        <w:trPr>
          <w:cantSplit/>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One element present</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0.80</w:t>
            </w:r>
          </w:p>
        </w:tc>
      </w:tr>
      <w:tr>
        <w:trPr>
          <w:cantSplit/>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No qualifying D5 evidence after complete search</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1.00 — Absent</w:t>
            </w:r>
          </w:p>
        </w:tc>
      </w:tr>
      <w:tr>
        <w:trPr>
          <w:cantSplit/>
        </w:trPr>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Relevant but uninterpretable evidence</w:t>
            </w:r>
          </w:p>
        </w:tc>
        <w:tc>
          <w:tcPr>
            <w:tcW w:w="468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9"/>
              </w:rPr>
              <w:t xml:space="preserve">NR</w:t>
            </w:r>
          </w:p>
        </w:tc>
      </w:tr>
    </w:tbl>
    <w:p>
      <w:pPr>
        <w:pStyle w:val="Heading1"/>
      </w:pPr>
      <w:r>
        <w:t>S4. Candidate Screening Score and Class Rules</w:t>
      </w:r>
    </w:p>
    <w:p>
      <w:r>
        <w:t>The procedure is hierarchical: commitment presence is checked first; comparability or qualitative assessability is checked second; a base score and specificity floor are then applied; conditionality is added last.</w:t>
      </w:r>
    </w:p>
    <w:p>
      <w:r>
        <w:t>For present quantitative commitments, base scores are 0.00 (meets/exceeds), 0.20 (up to 5 percentage points below), 0.40 (&gt;5-15), 0.60 (&gt;15-30), 0.80 (&gt;30) and 0.90 for explicit conflict. Qualitative dimensions use the evidence-element checklist.</w:t>
      </w:r>
    </w:p>
    <w:p>
      <w:r>
        <w:t>Specificity floors are V=0.00 for complete quantitative commitments, V=0.40 for partly specified commitments and V=0.60 for vague or aspirational language. S0=max(B,V). Mixed conditionality adds 0.05 and fully conditional delivery adds 0.10, capped at 0.95. A score of 1.00 is reserved for Absent; NR receives no score.</w:t>
      </w:r>
    </w:p>
    <w:p>
      <w:r>
        <w:t>Candidate classes are Aligned 0.00-0.20, Significant 0.21-0.79, Critical 0.80-0.95, Absent 1.00 and Not Directly Comparable (NR).</w:t>
      </w:r>
    </w:p>
    <w:p>
      <w:pPr>
        <w:spacing w:before="120" w:after="60"/>
      </w:pPr>
      <w:r>
        <w:rPr>
          <w:b/>
        </w:rPr>
        <w:t>Supplementary Table S4. Deterministic screening rubric.</w:t>
      </w:r>
    </w:p>
    <w:tbl>
      <w:tblPr>
        <w:tblW w:w="9351"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5"/>
        <w:gridCol w:w="4394"/>
        <w:gridCol w:w="2552"/>
      </w:tblGrid>
      <w:tr w:rsidR="001B30B7" w14:paraId="20B8C4E8" w14:textId="77777777" w:rsidTr="00FB2D3B">
        <w:trPr>
          <w:cantSplit/>
          <w:tblHeader/>
          <w:tblHeader w:val="true"/>
        </w:trPr>
        <w:tc>
          <w:tcPr>
            <w:tcW w:w="2405"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14E2796" w14:textId="77777777" w:rsidR="001B30B7" w:rsidRDefault="001B30B7" w:rsidP="001B30B7">
            <w:pPr>
              <w:spacing w:after="0" w:before="0"/>
              <w:jc w:val="center"/>
              <w:rPr>
                <w:b/>
                <w:bCs/>
              </w:rPr>
            </w:pPr>
            <w:r>
              <w:rPr>
                <w:rFonts w:ascii="Times New Roman" w:hAnsi="Times New Roman"/>
                <w:b/>
                <w:bCs/>
                <w:sz w:val="14"/>
              </w:rPr>
              <w:t>Decision stage</w:t>
            </w:r>
          </w:p>
          <w:p w14:paraId="7E516388" w14:textId="77777777" w:rsidR="001B30B7" w:rsidRDefault="001B30B7" w:rsidP="00786156">
            <w:pPr>
              <w:spacing w:before="0" w:after="0"/>
              <w:jc w:val="both"/>
            </w:pPr>
          </w:p>
        </w:tc>
        <w:tc>
          <w:tcPr>
            <w:tcW w:w="4394"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3644189" w14:textId="77777777" w:rsidR="001B30B7" w:rsidRDefault="001B30B7" w:rsidP="00FB2D3B">
            <w:pPr>
              <w:spacing w:before="0" w:after="0"/>
              <w:jc w:val="center"/>
            </w:pPr>
            <w:r>
              <w:rPr>
                <w:rFonts w:ascii="Times New Roman" w:hAnsi="Times New Roman"/>
                <w:b/>
                <w:bCs/>
                <w:color w:val="000000"/>
                <w:sz w:val="14"/>
                <w:szCs w:val="20"/>
              </w:rPr>
              <w:t>Condition</w:t>
            </w:r>
          </w:p>
        </w:tc>
        <w:tc>
          <w:tcPr>
            <w:tcW w:w="2552"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0832D241" w14:textId="77777777" w:rsidR="001B30B7" w:rsidRDefault="001B30B7" w:rsidP="00FB2D3B">
            <w:pPr>
              <w:spacing w:before="0" w:after="0"/>
              <w:jc w:val="center"/>
            </w:pPr>
            <w:r>
              <w:rPr>
                <w:rFonts w:ascii="Times New Roman" w:hAnsi="Times New Roman"/>
                <w:b/>
                <w:bCs/>
                <w:color w:val="000000"/>
                <w:sz w:val="14"/>
                <w:szCs w:val="20"/>
              </w:rPr>
              <w:t>Numerical treatment</w:t>
            </w:r>
          </w:p>
        </w:tc>
      </w:tr>
      <w:tr w:rsidR="001B30B7" w14:paraId="251982D1"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C6EFCE"/>
            <w:tcMar>
              <w:top w:w="72" w:type="dxa"/>
              <w:left w:w="100" w:type="dxa"/>
              <w:bottom w:w="72" w:type="dxa"/>
              <w:right w:w="100" w:type="dxa"/>
            </w:tcMar>
            <w:vAlign w:val="center"/>
          </w:tcPr>
          <w:p w14:paraId="6B66C215" w14:textId="77777777" w:rsidR="001B30B7" w:rsidRDefault="001B30B7" w:rsidP="00786156">
            <w:pPr>
              <w:spacing w:before="0" w:after="0"/>
              <w:jc w:val="both"/>
            </w:pPr>
            <w:r>
              <w:rPr>
                <w:rFonts w:ascii="Times New Roman" w:hAnsi="Times New Roman"/>
                <w:color w:val="000000"/>
                <w:sz w:val="14"/>
                <w:szCs w:val="20"/>
              </w:rPr>
              <w:t>Presence</w:t>
            </w:r>
          </w:p>
        </w:tc>
        <w:tc>
          <w:tcPr>
            <w:tcW w:w="4394" w:type="dxa"/>
            <w:tcBorders>
              <w:top w:val="single" w:sz="4" w:space="0" w:color="AAAAAA"/>
              <w:left w:val="single" w:sz="4" w:space="0" w:color="AAAAAA"/>
              <w:bottom w:val="single" w:sz="4" w:space="0" w:color="AAAAAA"/>
              <w:right w:val="single" w:sz="4" w:space="0" w:color="AAAAAA"/>
            </w:tcBorders>
            <w:shd w:val="clear" w:color="auto" w:fill="C6EFCE"/>
            <w:tcMar>
              <w:top w:w="72" w:type="dxa"/>
              <w:left w:w="100" w:type="dxa"/>
              <w:bottom w:w="72" w:type="dxa"/>
              <w:right w:w="100" w:type="dxa"/>
            </w:tcMar>
            <w:vAlign w:val="center"/>
          </w:tcPr>
          <w:p w14:paraId="60309C9C" w14:textId="77777777" w:rsidR="001B30B7" w:rsidRDefault="001B30B7" w:rsidP="00786156">
            <w:pPr>
              <w:spacing w:before="0" w:after="0"/>
              <w:jc w:val="both"/>
            </w:pPr>
            <w:r>
              <w:rPr>
                <w:rFonts w:ascii="Times New Roman" w:hAnsi="Times New Roman"/>
                <w:color w:val="000000"/>
                <w:sz w:val="14"/>
                <w:szCs w:val="20"/>
              </w:rPr>
              <w:t>No relevant commitment after complete search</w:t>
            </w:r>
          </w:p>
        </w:tc>
        <w:tc>
          <w:tcPr>
            <w:tcW w:w="2552" w:type="dxa"/>
            <w:tcBorders>
              <w:top w:val="single" w:sz="4" w:space="0" w:color="AAAAAA"/>
              <w:left w:val="single" w:sz="4" w:space="0" w:color="AAAAAA"/>
              <w:bottom w:val="single" w:sz="4" w:space="0" w:color="AAAAAA"/>
              <w:right w:val="single" w:sz="4" w:space="0" w:color="AAAAAA"/>
            </w:tcBorders>
            <w:shd w:val="clear" w:color="auto" w:fill="C6EFCE"/>
            <w:tcMar>
              <w:top w:w="72" w:type="dxa"/>
              <w:left w:w="100" w:type="dxa"/>
              <w:bottom w:w="72" w:type="dxa"/>
              <w:right w:w="100" w:type="dxa"/>
            </w:tcMar>
            <w:vAlign w:val="center"/>
          </w:tcPr>
          <w:p w14:paraId="43F4E59D" w14:textId="77777777" w:rsidR="001B30B7" w:rsidRDefault="001B30B7" w:rsidP="00786156">
            <w:pPr>
              <w:spacing w:before="0" w:after="0"/>
              <w:jc w:val="both"/>
            </w:pPr>
            <w:r>
              <w:rPr>
                <w:rFonts w:ascii="Times New Roman" w:hAnsi="Times New Roman"/>
                <w:color w:val="000000"/>
                <w:sz w:val="14"/>
                <w:szCs w:val="20"/>
              </w:rPr>
              <w:t>1.00, Absent</w:t>
            </w:r>
          </w:p>
        </w:tc>
      </w:tr>
      <w:tr w:rsidR="001B30B7" w14:paraId="2B9C6D7B"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FE5B4"/>
            <w:tcMar>
              <w:top w:w="72" w:type="dxa"/>
              <w:left w:w="100" w:type="dxa"/>
              <w:bottom w:w="72" w:type="dxa"/>
              <w:right w:w="100" w:type="dxa"/>
            </w:tcMar>
            <w:vAlign w:val="center"/>
          </w:tcPr>
          <w:p w14:paraId="5EBC4A0A" w14:textId="77777777" w:rsidR="001B30B7" w:rsidRDefault="001B30B7" w:rsidP="00786156">
            <w:pPr>
              <w:spacing w:before="0" w:after="0"/>
              <w:jc w:val="both"/>
            </w:pPr>
            <w:r>
              <w:rPr>
                <w:rFonts w:ascii="Times New Roman" w:hAnsi="Times New Roman"/>
                <w:color w:val="000000"/>
                <w:sz w:val="14"/>
                <w:szCs w:val="20"/>
              </w:rPr>
              <w:t>Comparability</w:t>
            </w:r>
          </w:p>
        </w:tc>
        <w:tc>
          <w:tcPr>
            <w:tcW w:w="4394" w:type="dxa"/>
            <w:tcBorders>
              <w:top w:val="single" w:sz="4" w:space="0" w:color="AAAAAA"/>
              <w:left w:val="single" w:sz="4" w:space="0" w:color="AAAAAA"/>
              <w:bottom w:val="single" w:sz="4" w:space="0" w:color="AAAAAA"/>
              <w:right w:val="single" w:sz="4" w:space="0" w:color="AAAAAA"/>
            </w:tcBorders>
            <w:shd w:val="clear" w:color="auto" w:fill="FFE5B4"/>
            <w:tcMar>
              <w:top w:w="72" w:type="dxa"/>
              <w:left w:w="100" w:type="dxa"/>
              <w:bottom w:w="72" w:type="dxa"/>
              <w:right w:w="100" w:type="dxa"/>
            </w:tcMar>
            <w:vAlign w:val="center"/>
          </w:tcPr>
          <w:p w14:paraId="787151B9" w14:textId="77777777" w:rsidR="002F703B" w:rsidRDefault="00000000">
            <w:pPr>
              <w:spacing w:before="0" w:after="0"/>
              <w:jc w:val="both"/>
            </w:pPr>
            <w:r>
              <w:rPr>
                <w:rFonts w:ascii="Times New Roman" w:hAnsi="Times New Roman"/>
                <w:color w:val="000000"/>
                <w:sz w:val="14"/>
                <w:szCs w:val="20"/>
              </w:rPr>
              <w:t>Commitment exists but neither harmonisation nor a defensible qualitative judgement is possible</w:t>
            </w:r>
          </w:p>
        </w:tc>
        <w:tc>
          <w:tcPr>
            <w:tcW w:w="2552" w:type="dxa"/>
            <w:tcBorders>
              <w:top w:val="single" w:sz="4" w:space="0" w:color="AAAAAA"/>
              <w:left w:val="single" w:sz="4" w:space="0" w:color="AAAAAA"/>
              <w:bottom w:val="single" w:sz="4" w:space="0" w:color="AAAAAA"/>
              <w:right w:val="single" w:sz="4" w:space="0" w:color="AAAAAA"/>
            </w:tcBorders>
            <w:shd w:val="clear" w:color="auto" w:fill="FFE5B4"/>
            <w:tcMar>
              <w:top w:w="72" w:type="dxa"/>
              <w:left w:w="100" w:type="dxa"/>
              <w:bottom w:w="72" w:type="dxa"/>
              <w:right w:w="100" w:type="dxa"/>
            </w:tcMar>
            <w:vAlign w:val="center"/>
          </w:tcPr>
          <w:p w14:paraId="2E591C38" w14:textId="77777777" w:rsidR="002F703B" w:rsidRDefault="00000000">
            <w:pPr>
              <w:spacing w:before="0" w:after="0"/>
              <w:jc w:val="both"/>
            </w:pPr>
            <w:r>
              <w:rPr>
                <w:rFonts w:ascii="Times New Roman" w:hAnsi="Times New Roman"/>
                <w:color w:val="000000"/>
                <w:sz w:val="14"/>
                <w:szCs w:val="20"/>
              </w:rPr>
              <w:t>NR, Not Directly Comparable</w:t>
            </w:r>
          </w:p>
        </w:tc>
      </w:tr>
      <w:tr w:rsidR="001B30B7" w14:paraId="12C4EC4F"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FCCCC"/>
            <w:tcMar>
              <w:top w:w="72" w:type="dxa"/>
              <w:left w:w="100" w:type="dxa"/>
              <w:bottom w:w="72" w:type="dxa"/>
              <w:right w:w="100" w:type="dxa"/>
            </w:tcMar>
            <w:vAlign w:val="center"/>
          </w:tcPr>
          <w:p w14:paraId="2B20D90F" w14:textId="77777777" w:rsidR="001B30B7" w:rsidRDefault="001B30B7" w:rsidP="00786156">
            <w:pPr>
              <w:spacing w:before="0" w:after="0"/>
              <w:jc w:val="both"/>
            </w:pPr>
            <w:r>
              <w:rPr>
                <w:rFonts w:ascii="Times New Roman" w:hAnsi="Times New Roman"/>
                <w:color w:val="000000"/>
                <w:sz w:val="14"/>
                <w:szCs w:val="20"/>
              </w:rPr>
              <w:t>Benchmark alignment</w:t>
            </w:r>
          </w:p>
        </w:tc>
        <w:tc>
          <w:tcPr>
            <w:tcW w:w="4394" w:type="dxa"/>
            <w:tcBorders>
              <w:top w:val="single" w:sz="4" w:space="0" w:color="AAAAAA"/>
              <w:left w:val="single" w:sz="4" w:space="0" w:color="AAAAAA"/>
              <w:bottom w:val="single" w:sz="4" w:space="0" w:color="AAAAAA"/>
              <w:right w:val="single" w:sz="4" w:space="0" w:color="AAAAAA"/>
            </w:tcBorders>
            <w:shd w:val="clear" w:color="auto" w:fill="FFCCCC"/>
            <w:tcMar>
              <w:top w:w="72" w:type="dxa"/>
              <w:left w:w="100" w:type="dxa"/>
              <w:bottom w:w="72" w:type="dxa"/>
              <w:right w:w="100" w:type="dxa"/>
            </w:tcMar>
            <w:vAlign w:val="center"/>
          </w:tcPr>
          <w:p w14:paraId="2633D1F8" w14:textId="77777777" w:rsidR="001B30B7" w:rsidRDefault="001B30B7" w:rsidP="00786156">
            <w:pPr>
              <w:spacing w:before="0" w:after="0"/>
              <w:jc w:val="both"/>
            </w:pPr>
            <w:r>
              <w:rPr>
                <w:rFonts w:ascii="Times New Roman" w:hAnsi="Times New Roman"/>
                <w:color w:val="000000"/>
                <w:sz w:val="14"/>
                <w:szCs w:val="20"/>
              </w:rPr>
              <w:t>Meets or exceeds benchmark</w:t>
            </w:r>
          </w:p>
        </w:tc>
        <w:tc>
          <w:tcPr>
            <w:tcW w:w="2552" w:type="dxa"/>
            <w:tcBorders>
              <w:top w:val="single" w:sz="4" w:space="0" w:color="AAAAAA"/>
              <w:left w:val="single" w:sz="4" w:space="0" w:color="AAAAAA"/>
              <w:bottom w:val="single" w:sz="4" w:space="0" w:color="AAAAAA"/>
              <w:right w:val="single" w:sz="4" w:space="0" w:color="AAAAAA"/>
            </w:tcBorders>
            <w:shd w:val="clear" w:color="auto" w:fill="FFCCCC"/>
            <w:tcMar>
              <w:top w:w="72" w:type="dxa"/>
              <w:left w:w="100" w:type="dxa"/>
              <w:bottom w:w="72" w:type="dxa"/>
              <w:right w:w="100" w:type="dxa"/>
            </w:tcMar>
            <w:vAlign w:val="center"/>
          </w:tcPr>
          <w:p w14:paraId="2D0ACF71" w14:textId="77777777" w:rsidR="001B30B7" w:rsidRDefault="00FB2D3B" w:rsidP="00786156">
            <w:pPr>
              <w:spacing w:before="0" w:after="0"/>
              <w:jc w:val="both"/>
            </w:pPr>
            <w:r>
              <w:rPr>
                <w:rFonts w:ascii="Times New Roman" w:hAnsi="Times New Roman"/>
                <w:color w:val="000000"/>
                <w:sz w:val="14"/>
                <w:szCs w:val="20"/>
              </w:rPr>
              <w:t>B=0.00</w:t>
            </w:r>
          </w:p>
        </w:tc>
      </w:tr>
      <w:tr w:rsidR="001B30B7" w14:paraId="204FB317"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E8E8E8"/>
            <w:tcMar>
              <w:top w:w="72" w:type="dxa"/>
              <w:left w:w="100" w:type="dxa"/>
              <w:bottom w:w="72" w:type="dxa"/>
              <w:right w:w="100" w:type="dxa"/>
            </w:tcMar>
            <w:vAlign w:val="center"/>
          </w:tcPr>
          <w:p w14:paraId="27AA4667" w14:textId="77777777" w:rsidR="001B30B7" w:rsidRDefault="001B30B7" w:rsidP="00786156">
            <w:pPr>
              <w:spacing w:before="0" w:after="0"/>
              <w:jc w:val="both"/>
            </w:pPr>
            <w:r>
              <w:rPr>
                <w:rFonts w:ascii="Times New Roman" w:hAnsi="Times New Roman"/>
                <w:color w:val="000000"/>
                <w:sz w:val="14"/>
                <w:szCs w:val="20"/>
              </w:rPr>
              <w:t>Benchmark alignment</w:t>
            </w:r>
          </w:p>
        </w:tc>
        <w:tc>
          <w:tcPr>
            <w:tcW w:w="4394" w:type="dxa"/>
            <w:tcBorders>
              <w:top w:val="single" w:sz="4" w:space="0" w:color="AAAAAA"/>
              <w:left w:val="single" w:sz="4" w:space="0" w:color="AAAAAA"/>
              <w:bottom w:val="single" w:sz="4" w:space="0" w:color="AAAAAA"/>
              <w:right w:val="single" w:sz="4" w:space="0" w:color="AAAAAA"/>
            </w:tcBorders>
            <w:shd w:val="clear" w:color="auto" w:fill="E8E8E8"/>
            <w:tcMar>
              <w:top w:w="72" w:type="dxa"/>
              <w:left w:w="100" w:type="dxa"/>
              <w:bottom w:w="72" w:type="dxa"/>
              <w:right w:w="100" w:type="dxa"/>
            </w:tcMar>
            <w:vAlign w:val="center"/>
          </w:tcPr>
          <w:p w14:paraId="4A5B9DA2" w14:textId="77777777" w:rsidR="001B30B7" w:rsidRDefault="00FB2D3B" w:rsidP="00786156">
            <w:pPr>
              <w:spacing w:before="0" w:after="0"/>
              <w:jc w:val="both"/>
            </w:pPr>
            <w:r>
              <w:rPr>
                <w:rFonts w:ascii="Times New Roman" w:hAnsi="Times New Roman"/>
                <w:color w:val="000000"/>
                <w:sz w:val="14"/>
                <w:szCs w:val="20"/>
              </w:rPr>
              <w:t>≤5 percentage-point shortfall</w:t>
            </w:r>
          </w:p>
        </w:tc>
        <w:tc>
          <w:tcPr>
            <w:tcW w:w="2552" w:type="dxa"/>
            <w:tcBorders>
              <w:top w:val="single" w:sz="4" w:space="0" w:color="AAAAAA"/>
              <w:left w:val="single" w:sz="4" w:space="0" w:color="AAAAAA"/>
              <w:bottom w:val="single" w:sz="4" w:space="0" w:color="AAAAAA"/>
              <w:right w:val="single" w:sz="4" w:space="0" w:color="AAAAAA"/>
            </w:tcBorders>
            <w:shd w:val="clear" w:color="auto" w:fill="E8E8E8"/>
            <w:tcMar>
              <w:top w:w="72" w:type="dxa"/>
              <w:left w:w="100" w:type="dxa"/>
              <w:bottom w:w="72" w:type="dxa"/>
              <w:right w:w="100" w:type="dxa"/>
            </w:tcMar>
            <w:vAlign w:val="center"/>
          </w:tcPr>
          <w:p w14:paraId="37BB1CE1" w14:textId="77777777" w:rsidR="001B30B7" w:rsidRDefault="00FB2D3B" w:rsidP="00786156">
            <w:pPr>
              <w:spacing w:before="0" w:after="0"/>
              <w:jc w:val="both"/>
            </w:pPr>
            <w:r>
              <w:rPr>
                <w:rFonts w:ascii="Times New Roman" w:hAnsi="Times New Roman"/>
                <w:color w:val="000000"/>
                <w:sz w:val="14"/>
                <w:szCs w:val="20"/>
              </w:rPr>
              <w:t>B=0.20</w:t>
            </w:r>
          </w:p>
        </w:tc>
      </w:tr>
      <w:tr w:rsidR="001B30B7" w14:paraId="533ED8DE"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2C963A8B" w14:textId="77777777" w:rsidR="001B30B7" w:rsidRDefault="001B30B7" w:rsidP="00786156">
            <w:pPr>
              <w:spacing w:before="0" w:after="0"/>
              <w:jc w:val="both"/>
            </w:pPr>
            <w:r>
              <w:rPr>
                <w:rFonts w:ascii="Times New Roman" w:hAnsi="Times New Roman"/>
                <w:color w:val="000000"/>
                <w:sz w:val="14"/>
                <w:szCs w:val="20"/>
              </w:rPr>
              <w:t>Benchmark alignment</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1A50C163" w14:textId="77777777" w:rsidR="001B30B7" w:rsidRDefault="00FB2D3B" w:rsidP="00786156">
            <w:pPr>
              <w:spacing w:before="0" w:after="0"/>
              <w:jc w:val="both"/>
            </w:pPr>
            <w:r>
              <w:rPr>
                <w:rFonts w:ascii="Times New Roman" w:hAnsi="Times New Roman"/>
                <w:color w:val="000000"/>
                <w:sz w:val="14"/>
                <w:szCs w:val="20"/>
              </w:rPr>
              <w:t>&gt;5–15 percentage-point shortfall or substantial partial coverage</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2717B31B" w14:textId="77777777" w:rsidR="001B30B7" w:rsidRDefault="00FB2D3B" w:rsidP="00786156">
            <w:pPr>
              <w:spacing w:before="0" w:after="0"/>
              <w:jc w:val="both"/>
            </w:pPr>
            <w:r>
              <w:rPr>
                <w:rFonts w:ascii="Times New Roman" w:hAnsi="Times New Roman"/>
                <w:color w:val="000000"/>
                <w:sz w:val="14"/>
                <w:szCs w:val="20"/>
              </w:rPr>
              <w:t>B=0.40</w:t>
            </w:r>
          </w:p>
        </w:tc>
      </w:tr>
      <w:tr w:rsidR="001B30B7" w14:paraId="09CC32CF"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2D12901F"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Benchmark alignment</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3C2FB613"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&gt;15–30 percentage-point shortfall or material incompleteness</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0D68D551"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B=0.60</w:t>
            </w:r>
          </w:p>
        </w:tc>
      </w:tr>
      <w:tr w:rsidR="001B30B7" w14:paraId="20358E12"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79C5F361"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Benchmark alignment</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3A16DBAE"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&gt;30 percentage-point shortfall or major omission</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19F67D67"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B=0.80</w:t>
            </w:r>
          </w:p>
        </w:tc>
      </w:tr>
      <w:tr w:rsidR="001B30B7" w14:paraId="1EAD0D6F"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4197FE1D"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Conflict</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7EFC7380"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Explicitly contradicts benchmark direction</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35E7F4F4"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B=0.90</w:t>
            </w:r>
          </w:p>
        </w:tc>
      </w:tr>
      <w:tr w:rsidR="001B30B7" w14:paraId="0487B6D3"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6FE9182A"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Specificity</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5C50EFFA"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Fully quantified and scoped</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2813393E"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V=0.00</w:t>
            </w:r>
          </w:p>
        </w:tc>
      </w:tr>
      <w:tr w:rsidR="001B30B7" w14:paraId="1E2D5985"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657D7213"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Specificity</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188E304D"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Partly specified</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21DFB4F2"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Minimum V=0.40</w:t>
            </w:r>
          </w:p>
        </w:tc>
      </w:tr>
      <w:tr w:rsidR="001B30B7" w14:paraId="5BEC1F1D"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4CD0003C"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Specificity</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62A5CB1F"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Vague or aspirational</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0D6E4F7D"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Minimum V=0.60</w:t>
            </w:r>
          </w:p>
        </w:tc>
      </w:tr>
      <w:tr w:rsidR="001B30B7" w14:paraId="2E5F2D5F"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0C7277ED"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Conditionality</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1E6F7127"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Unconditional</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3454A588"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No adjustment</w:t>
            </w:r>
          </w:p>
        </w:tc>
      </w:tr>
      <w:tr w:rsidR="001B30B7" w14:paraId="39A165AB"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145C5C9F"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Conditionality</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365A01B3"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Mixed unconditional and conditional target</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360003DF"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+0.05; minimum final score 0.25</w:t>
            </w:r>
          </w:p>
        </w:tc>
      </w:tr>
      <w:tr w:rsidR="001B30B7" w14:paraId="55933716"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7FC61AEC"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Conditionality</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6E03CCB6"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Fully conditional</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22D1616C"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+0.10; minimum final score 0.40</w:t>
            </w:r>
          </w:p>
        </w:tc>
      </w:tr>
      <w:tr w:rsidR="001B30B7" w14:paraId="24F9E76A"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0BB53271"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Final cap</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415CDEA9"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Present commitment</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22D6C96C" w14:textId="77777777" w:rsidR="001B30B7" w:rsidRDefault="00FB2D3B" w:rsidP="00786156">
            <w:pPr>
              <w:spacing w:before="0" w:after="0"/>
              <w:jc w:val="both"/>
              <w:rPr>
                <w:color w:val="000000"/>
                <w:sz w:val="20"/>
                <w:szCs w:val="20"/>
              </w:rPr>
            </w:pPr>
            <w:r>
              <w:rPr>
                <w:rFonts w:ascii="Times New Roman" w:hAnsi="Times New Roman"/>
                <w:color w:val="000000"/>
                <w:sz w:val="14"/>
                <w:szCs w:val="20"/>
              </w:rPr>
              <w:t>Maximum 0.95</w:t>
            </w:r>
          </w:p>
        </w:tc>
      </w:tr>
      <w:tr w:rsidR="001B30B7" w14:paraId="23D156CF" w14:textId="77777777" w:rsidTr="00FB2D3B">
        <w:trPr>
          <w:cantSplit/>
        </w:trPr>
        <w:tc>
          <w:tcPr>
            <w:tcW w:w="2405"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222F834F" w14:textId="77777777" w:rsidR="001B30B7" w:rsidRPr="001B30B7" w:rsidRDefault="001B30B7" w:rsidP="00786156">
            <w:pPr>
              <w:spacing w:before="0" w:after="0"/>
              <w:jc w:val="both"/>
              <w:rPr>
                <w:color w:val="000000"/>
                <w:sz w:val="20"/>
                <w:szCs w:val="20"/>
              </w:rPr>
            </w:pPr>
            <w:r>
              <w:rPr>
                <w:rFonts w:ascii="Times New Roman" w:hAnsi="Times New Roman"/>
                <w:color w:val="000000"/>
                <w:sz w:val="14"/>
                <w:szCs w:val="20"/>
              </w:rPr>
              <w:t>Candidate screening outcomes</w:t>
            </w:r>
          </w:p>
        </w:tc>
        <w:tc>
          <w:tcPr>
            <w:tcW w:w="4394"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13CD3136" w14:textId="77777777" w:rsidR="002F703B" w:rsidRDefault="00000000">
            <w:pPr>
              <w:spacing w:before="0" w:after="0"/>
              <w:jc w:val="both"/>
              <w:rPr>
                <w:color w:val="000000"/>
                <w:sz w:val="20"/>
                <w:szCs w:val="20"/>
              </w:rPr>
            </w:pPr>
            <w:r>
              <w:rPr>
                <w:rFonts w:ascii="Times New Roman" w:hAnsi="Times New Roman"/>
                <w:color w:val="000000"/>
                <w:sz w:val="14"/>
                <w:szCs w:val="20"/>
              </w:rPr>
              <w:t>Aligned / Significant / Critical / Absent / Not Directly Comparable</w:t>
            </w:r>
          </w:p>
        </w:tc>
        <w:tc>
          <w:tcPr>
            <w:tcW w:w="2552" w:type="dxa"/>
            <w:tcBorders>
              <w:top w:val="single" w:sz="4" w:space="0" w:color="AAAAAA"/>
              <w:left w:val="single" w:sz="4" w:space="0" w:color="AAAAAA"/>
              <w:bottom w:val="single" w:sz="4" w:space="0" w:color="AAAAAA"/>
              <w:right w:val="single" w:sz="4" w:space="0" w:color="AAAAAA"/>
            </w:tcBorders>
            <w:shd w:val="clear" w:color="auto" w:fill="F0E6FF"/>
            <w:tcMar>
              <w:top w:w="72" w:type="dxa"/>
              <w:left w:w="100" w:type="dxa"/>
              <w:bottom w:w="72" w:type="dxa"/>
              <w:right w:w="100" w:type="dxa"/>
            </w:tcMar>
            <w:vAlign w:val="center"/>
          </w:tcPr>
          <w:p w14:paraId="41E5B158" w14:textId="77777777" w:rsidR="002F703B" w:rsidRDefault="00000000">
            <w:pPr>
              <w:spacing w:before="0" w:after="0"/>
              <w:jc w:val="both"/>
              <w:rPr>
                <w:color w:val="000000"/>
                <w:sz w:val="20"/>
                <w:szCs w:val="20"/>
              </w:rPr>
            </w:pPr>
            <w:r>
              <w:rPr>
                <w:rFonts w:ascii="Times New Roman" w:hAnsi="Times New Roman"/>
                <w:color w:val="000000"/>
                <w:sz w:val="14"/>
                <w:szCs w:val="20"/>
              </w:rPr>
              <w:t>0.00–0.20 / 0.21–0.79 / 0.80–0.95 / 1.00 / NR</w:t>
            </w:r>
          </w:p>
        </w:tc>
      </w:tr>
    </w:tbl>
    <w:p>
      <w:pPr>
        <w:pStyle w:val="Heading1"/>
      </w:pPr>
      <w:r>
        <w:t>S5. Metric and Temporal Harmonisation Rules</w:t>
      </w:r>
    </w:p>
    <w:p>
      <w:r>
        <w:t>A numerical gap is permitted only when year, metric, denominator, unit and scope align or can be harmonised with documented inputs. Otherwise the cell is assessed qualitatively or assigned NR. Global IPCC pathway values are not equity-adjusted national targets.</w:t>
      </w:r>
    </w:p>
    <w:p>
      <w:pPr>
        <w:spacing w:before="120" w:after="60"/>
      </w:pPr>
      <w:r>
        <w:rPr>
          <w:b/>
        </w:rPr>
        <w:t>Supplementary Table S5. Metric and temporal harmonisation rules.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ook w:val="04A0" w:firstRow="1" w:lastRow="0" w:firstColumn="1" w:lastColumn="0" w:noHBand="0" w:noVBand="1"/>
      </w:tblPr>
      <w:tblGrid>
        <w:gridCol w:w="3200"/>
        <w:gridCol w:w="3200"/>
        <w:gridCol w:w="2600"/>
      </w:tblGrid>
      <w:tr w:rsidR="002F703B" w14:paraId="13C1863A" w14:textId="77777777">
        <w:trPr>
          <w:cantSplit/>
          <w:tblHeader/>
          <w:tblHeader w:val="true"/>
        </w:trPr>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58E99853" w14:textId="77777777" w:rsidR="002F703B" w:rsidRDefault="00000000">
            <w:pPr>
              <w:spacing w:before="0" w:after="0"/>
              <w:jc w:val="both"/>
            </w:pPr>
            <w:r>
              <w:rPr>
                <w:rFonts w:ascii="Times New Roman" w:hAnsi="Times New Roman"/>
                <w:b/>
                <w:bCs/>
                <w:sz w:val="14"/>
                <w:szCs w:val="18"/>
              </w:rPr>
              <w:t>Mismatch</w:t>
            </w:r>
          </w:p>
        </w:tc>
        <w:tc>
          <w:tcPr>
            <w:tcW w:w="3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4857E9F" w14:textId="77777777" w:rsidR="002F703B" w:rsidRDefault="00000000">
            <w:pPr>
              <w:spacing w:before="0" w:after="0"/>
              <w:jc w:val="both"/>
            </w:pPr>
            <w:r>
              <w:rPr>
                <w:rFonts w:ascii="Times New Roman" w:hAnsi="Times New Roman"/>
                <w:b/>
                <w:bCs/>
                <w:sz w:val="14"/>
                <w:szCs w:val="18"/>
              </w:rPr>
              <w:t>Valid harmonisation</w:t>
            </w:r>
          </w:p>
        </w:tc>
        <w:tc>
          <w:tcPr>
            <w:tcW w:w="26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605764C3" w14:textId="77777777" w:rsidR="002F703B" w:rsidRDefault="00000000">
            <w:pPr>
              <w:spacing w:before="0" w:after="0"/>
              <w:jc w:val="both"/>
            </w:pPr>
            <w:r>
              <w:rPr>
                <w:rFonts w:ascii="Times New Roman" w:hAnsi="Times New Roman"/>
                <w:b/>
                <w:bCs/>
                <w:sz w:val="14"/>
                <w:szCs w:val="18"/>
              </w:rPr>
              <w:t>Classification where required inputs are unavailable</w:t>
            </w:r>
          </w:p>
        </w:tc>
      </w:tr>
      <w:tr w:rsidR="002F703B" w14:paraId="74CB6A1A" w14:textId="77777777">
        <w:trPr>
          <w:cantSplit/>
        </w:trPr>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2471C71" w14:textId="77777777" w:rsidR="002F703B" w:rsidRDefault="00000000">
            <w:pPr>
              <w:spacing w:before="0" w:after="0"/>
              <w:jc w:val="both"/>
            </w:pPr>
            <w:r>
              <w:rPr>
                <w:rFonts w:ascii="Times New Roman" w:hAnsi="Times New Roman"/>
                <w:sz w:val="14"/>
                <w:szCs w:val="18"/>
              </w:rPr>
              <w:t>National emissions reduction from a non-2019 baseline vs. 2030 IPCC reduction from 2019</w:t>
            </w:r>
          </w:p>
        </w:tc>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D1AC575" w14:textId="77777777" w:rsidR="002F703B" w:rsidRDefault="00000000">
            <w:pPr>
              <w:spacing w:before="0" w:after="0"/>
              <w:jc w:val="both"/>
            </w:pPr>
            <w:r>
              <w:rPr>
                <w:rFonts w:ascii="Times New Roman" w:hAnsi="Times New Roman"/>
                <w:sz w:val="14"/>
                <w:szCs w:val="18"/>
              </w:rPr>
              <w:t>Convert through absolute emissions using the same gas and sectoral scope</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716125F" w14:textId="77777777" w:rsidR="002F703B" w:rsidRDefault="00000000">
            <w:pPr>
              <w:spacing w:before="0" w:after="0"/>
              <w:jc w:val="both"/>
            </w:pPr>
            <w:r>
              <w:rPr>
                <w:rFonts w:ascii="Times New Roman" w:hAnsi="Times New Roman"/>
                <w:sz w:val="14"/>
                <w:szCs w:val="18"/>
              </w:rPr>
              <w:t>No arithmetic gap; Qualitative Only where supported, otherwise NR</w:t>
            </w:r>
          </w:p>
        </w:tc>
      </w:tr>
      <w:tr w:rsidR="002F703B" w14:paraId="2E022ACE" w14:textId="77777777">
        <w:trPr>
          <w:cantSplit/>
        </w:trPr>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AB24C00" w14:textId="77777777" w:rsidR="002F703B" w:rsidRDefault="00000000">
            <w:pPr>
              <w:spacing w:before="0" w:after="0"/>
              <w:jc w:val="both"/>
            </w:pPr>
            <w:r>
              <w:rPr>
                <w:rFonts w:ascii="Times New Roman" w:hAnsi="Times New Roman"/>
                <w:sz w:val="14"/>
                <w:szCs w:val="18"/>
              </w:rPr>
              <w:t>2030 national target vs. 2050 IPCC endpoint</w:t>
            </w:r>
          </w:p>
        </w:tc>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51A6CD8" w14:textId="77777777" w:rsidR="002F703B" w:rsidRDefault="00000000">
            <w:pPr>
              <w:spacing w:before="0" w:after="0"/>
              <w:jc w:val="both"/>
            </w:pPr>
            <w:r>
              <w:rPr>
                <w:rFonts w:ascii="Times New Roman" w:hAnsi="Times New Roman"/>
                <w:sz w:val="14"/>
                <w:szCs w:val="18"/>
              </w:rPr>
              <w:t>Use an IPCC value for the same target year from an explicit pathway time series</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1CE9A4C" w14:textId="77777777" w:rsidR="002F703B" w:rsidRDefault="00000000">
            <w:pPr>
              <w:spacing w:before="0" w:after="0"/>
              <w:jc w:val="both"/>
            </w:pPr>
            <w:r>
              <w:rPr>
                <w:rFonts w:ascii="Times New Roman" w:hAnsi="Times New Roman"/>
                <w:sz w:val="14"/>
                <w:szCs w:val="18"/>
              </w:rPr>
              <w:t>No arithmetic gap; Qualitative Only where supported, otherwise NR</w:t>
            </w:r>
          </w:p>
        </w:tc>
      </w:tr>
      <w:tr w:rsidR="002F703B" w14:paraId="662027B5" w14:textId="77777777">
        <w:trPr>
          <w:cantSplit/>
        </w:trPr>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430E878" w14:textId="77777777" w:rsidR="002F703B" w:rsidRDefault="00000000">
            <w:pPr>
              <w:spacing w:before="0" w:after="0"/>
              <w:jc w:val="both"/>
            </w:pPr>
            <w:r>
              <w:rPr>
                <w:rFonts w:ascii="Times New Roman" w:hAnsi="Times New Roman"/>
                <w:sz w:val="14"/>
                <w:szCs w:val="18"/>
              </w:rPr>
              <w:t>Installed capacity in GW vs. electricity-generation share</w:t>
            </w:r>
          </w:p>
        </w:tc>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3530FF3" w14:textId="77777777" w:rsidR="002F703B" w:rsidRDefault="00000000">
            <w:pPr>
              <w:spacing w:before="0" w:after="0"/>
              <w:jc w:val="both"/>
            </w:pPr>
            <w:r>
              <w:rPr>
                <w:rFonts w:ascii="Times New Roman" w:hAnsi="Times New Roman"/>
                <w:sz w:val="14"/>
                <w:szCs w:val="18"/>
              </w:rPr>
              <w:t>Convert using complete capacity mix and technology-specific capacity factors</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4979447" w14:textId="77777777" w:rsidR="002F703B" w:rsidRDefault="00000000">
            <w:pPr>
              <w:spacing w:before="0" w:after="0"/>
              <w:jc w:val="both"/>
            </w:pPr>
            <w:r>
              <w:rPr>
                <w:rFonts w:ascii="Times New Roman" w:hAnsi="Times New Roman"/>
                <w:sz w:val="14"/>
                <w:szCs w:val="18"/>
              </w:rPr>
              <w:t>No arithmetic gap; Qualitative Only where supported, otherwise NR</w:t>
            </w:r>
          </w:p>
        </w:tc>
      </w:tr>
      <w:tr w:rsidR="002F703B" w14:paraId="2F78EA5A" w14:textId="77777777">
        <w:trPr>
          <w:cantSplit/>
        </w:trPr>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AA03945" w14:textId="77777777" w:rsidR="002F703B" w:rsidRDefault="00000000">
            <w:pPr>
              <w:spacing w:before="0" w:after="0"/>
              <w:jc w:val="both"/>
            </w:pPr>
            <w:r>
              <w:rPr>
                <w:rFonts w:ascii="Times New Roman" w:hAnsi="Times New Roman"/>
                <w:sz w:val="14"/>
                <w:szCs w:val="18"/>
              </w:rPr>
              <w:t>Installed non-fossil capacity share vs. renewable-electricity share</w:t>
            </w:r>
          </w:p>
        </w:tc>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FC20932" w14:textId="77777777" w:rsidR="002F703B" w:rsidRDefault="00000000">
            <w:pPr>
              <w:spacing w:before="0" w:after="0"/>
              <w:jc w:val="both"/>
            </w:pPr>
            <w:r>
              <w:rPr>
                <w:rFonts w:ascii="Times New Roman" w:hAnsi="Times New Roman"/>
                <w:sz w:val="14"/>
                <w:szCs w:val="18"/>
              </w:rPr>
              <w:t>Convert generation by technology; exclude non-renewable non-fossil technologies where appropriate</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1E7AA32" w14:textId="77777777" w:rsidR="002F703B" w:rsidRDefault="00000000">
            <w:pPr>
              <w:spacing w:before="0" w:after="0"/>
              <w:jc w:val="both"/>
            </w:pPr>
            <w:r>
              <w:rPr>
                <w:rFonts w:ascii="Times New Roman" w:hAnsi="Times New Roman"/>
                <w:sz w:val="14"/>
                <w:szCs w:val="18"/>
              </w:rPr>
              <w:t>No arithmetic gap; Qualitative Only where supported, otherwise NR</w:t>
            </w:r>
          </w:p>
        </w:tc>
      </w:tr>
      <w:tr w:rsidR="002F703B" w14:paraId="3B22DE58" w14:textId="77777777">
        <w:trPr>
          <w:cantSplit/>
        </w:trPr>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CC33C4A" w14:textId="77777777" w:rsidR="002F703B" w:rsidRDefault="00000000">
            <w:pPr>
              <w:spacing w:before="0" w:after="0"/>
              <w:jc w:val="both"/>
            </w:pPr>
            <w:r>
              <w:rPr>
                <w:rFonts w:ascii="Times New Roman" w:hAnsi="Times New Roman"/>
                <w:sz w:val="14"/>
                <w:szCs w:val="18"/>
              </w:rPr>
              <w:t>Primary-energy share vs. electricity-generation share</w:t>
            </w:r>
          </w:p>
        </w:tc>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8ECB932" w14:textId="77777777" w:rsidR="002F703B" w:rsidRDefault="00000000">
            <w:pPr>
              <w:spacing w:before="0" w:after="0"/>
              <w:jc w:val="both"/>
            </w:pPr>
            <w:r>
              <w:rPr>
                <w:rFonts w:ascii="Times New Roman" w:hAnsi="Times New Roman"/>
                <w:sz w:val="14"/>
                <w:szCs w:val="18"/>
              </w:rPr>
              <w:t>Use a documented energy-balance or energy-system model</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C89BCF5" w14:textId="77777777" w:rsidR="002F703B" w:rsidRDefault="00000000">
            <w:pPr>
              <w:spacing w:before="0" w:after="0"/>
              <w:jc w:val="both"/>
            </w:pPr>
            <w:r>
              <w:rPr>
                <w:rFonts w:ascii="Times New Roman" w:hAnsi="Times New Roman"/>
                <w:sz w:val="14"/>
                <w:szCs w:val="18"/>
              </w:rPr>
              <w:t>No arithmetic gap; Qualitative Only where supported, otherwise NR</w:t>
            </w:r>
          </w:p>
        </w:tc>
      </w:tr>
      <w:tr w:rsidR="002F703B" w14:paraId="3A36566C" w14:textId="77777777">
        <w:trPr>
          <w:cantSplit/>
        </w:trPr>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3B8998E" w14:textId="77777777" w:rsidR="002F703B" w:rsidRDefault="00000000">
            <w:pPr>
              <w:spacing w:before="0" w:after="0"/>
              <w:jc w:val="both"/>
            </w:pPr>
            <w:r>
              <w:rPr>
                <w:rFonts w:ascii="Times New Roman" w:hAnsi="Times New Roman"/>
                <w:sz w:val="14"/>
                <w:szCs w:val="18"/>
              </w:rPr>
              <w:t>Aggregate GHG reduction vs. methane-specific reduction</w:t>
            </w:r>
          </w:p>
        </w:tc>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BE7B049" w14:textId="77777777" w:rsidR="002F703B" w:rsidRDefault="00000000">
            <w:pPr>
              <w:spacing w:before="0" w:after="0"/>
              <w:jc w:val="both"/>
            </w:pPr>
            <w:r>
              <w:rPr>
                <w:rFonts w:ascii="Times New Roman" w:hAnsi="Times New Roman"/>
                <w:sz w:val="14"/>
                <w:szCs w:val="18"/>
              </w:rPr>
              <w:t>Decompose the target by gas using compatible inventory data</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2628FE0" w14:textId="77777777" w:rsidR="002F703B" w:rsidRDefault="00000000">
            <w:pPr>
              <w:spacing w:before="0" w:after="0"/>
              <w:jc w:val="both"/>
            </w:pPr>
            <w:r>
              <w:rPr>
                <w:rFonts w:ascii="Times New Roman" w:hAnsi="Times New Roman"/>
                <w:sz w:val="14"/>
                <w:szCs w:val="18"/>
              </w:rPr>
              <w:t>No methane percentage gap; use qualitative evidence, Absent or NR as applicable</w:t>
            </w:r>
          </w:p>
        </w:tc>
      </w:tr>
      <w:tr w:rsidR="002F703B" w14:paraId="5FA7DC39" w14:textId="77777777">
        <w:trPr>
          <w:cantSplit/>
        </w:trPr>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19E431A" w14:textId="77777777" w:rsidR="002F703B" w:rsidRDefault="00000000">
            <w:pPr>
              <w:spacing w:before="0" w:after="0"/>
              <w:jc w:val="both"/>
            </w:pPr>
            <w:r>
              <w:rPr>
                <w:rFonts w:ascii="Times New Roman" w:hAnsi="Times New Roman"/>
                <w:sz w:val="14"/>
                <w:szCs w:val="18"/>
              </w:rPr>
              <w:t>EV or modal-shift target vs. total transport-emissions reduction</w:t>
            </w:r>
          </w:p>
        </w:tc>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F811C6E" w14:textId="77777777" w:rsidR="002F703B" w:rsidRDefault="00000000">
            <w:pPr>
              <w:spacing w:before="0" w:after="0"/>
              <w:jc w:val="both"/>
            </w:pPr>
            <w:r>
              <w:rPr>
                <w:rFonts w:ascii="Times New Roman" w:hAnsi="Times New Roman"/>
                <w:sz w:val="14"/>
                <w:szCs w:val="18"/>
              </w:rPr>
              <w:t>Use a documented fleet and transport-emissions model</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72C7596" w14:textId="77777777" w:rsidR="002F703B" w:rsidRDefault="00000000">
            <w:pPr>
              <w:spacing w:before="0" w:after="0"/>
              <w:jc w:val="both"/>
            </w:pPr>
            <w:r>
              <w:rPr>
                <w:rFonts w:ascii="Times New Roman" w:hAnsi="Times New Roman"/>
                <w:sz w:val="14"/>
                <w:szCs w:val="18"/>
              </w:rPr>
              <w:t>No arithmetic gap; Qualitative Only where supported, otherwise NR</w:t>
            </w:r>
          </w:p>
        </w:tc>
      </w:tr>
      <w:tr w:rsidR="002F703B" w14:paraId="6E1C120A" w14:textId="77777777">
        <w:trPr>
          <w:cantSplit/>
        </w:trPr>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5B863A7" w14:textId="77777777" w:rsidR="002F703B" w:rsidRDefault="00000000">
            <w:pPr>
              <w:spacing w:before="0" w:after="0"/>
              <w:jc w:val="both"/>
            </w:pPr>
            <w:r>
              <w:rPr>
                <w:rFonts w:ascii="Times New Roman" w:hAnsi="Times New Roman"/>
                <w:sz w:val="14"/>
                <w:szCs w:val="18"/>
              </w:rPr>
              <w:t>Finance need vs. pledge or disbursement</w:t>
            </w:r>
          </w:p>
        </w:tc>
        <w:tc>
          <w:tcPr>
            <w:tcW w:w="3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DD3DB8D" w14:textId="77777777" w:rsidR="002F703B" w:rsidRDefault="00000000">
            <w:pPr>
              <w:spacing w:before="0" w:after="0"/>
              <w:jc w:val="both"/>
            </w:pPr>
            <w:r>
              <w:rPr>
                <w:rFonts w:ascii="Times New Roman" w:hAnsi="Times New Roman"/>
                <w:sz w:val="14"/>
                <w:szCs w:val="18"/>
              </w:rPr>
              <w:t>No direct conversion; assess as separate qualitative evidence fields</w:t>
            </w:r>
          </w:p>
        </w:tc>
        <w:tc>
          <w:tcPr>
            <w:tcW w:w="2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39AA0EA" w14:textId="77777777" w:rsidR="002F703B" w:rsidRDefault="00000000">
            <w:pPr>
              <w:spacing w:before="0" w:after="0"/>
              <w:jc w:val="both"/>
            </w:pPr>
            <w:r>
              <w:rPr>
                <w:rFonts w:ascii="Times New Roman" w:hAnsi="Times New Roman"/>
                <w:sz w:val="14"/>
                <w:szCs w:val="18"/>
              </w:rPr>
              <w:t>Qualitative Only</w:t>
            </w:r>
          </w:p>
        </w:tc>
      </w:tr>
    </w:tbl>
    <w:p>
      <w:pPr>
        <w:pStyle w:val="Heading1"/>
      </w:pPr>
      <w:r>
        <w:t>S6. Model Backends, No-RAG Settings and Prompt Templates</w:t>
      </w:r>
    </w:p>
    <w:p>
      <w:r>
        <w:t>Three RAG backends used common retrieval, temperature and output limits. The internally matched GPT-4o RAG/no-RAG comparison used the same recorded API configuration; the exact dated model identifier was not retained.</w:t>
      </w:r>
    </w:p>
    <w:p>
      <w:pPr>
        <w:spacing w:before="120" w:after="60"/>
      </w:pPr>
      <w:r>
        <w:rPr>
          <w:b/>
        </w:rPr>
        <w:t>Supplementary Table S6. Matched GPT-4o settings.</w:t>
      </w:r>
    </w:p>
    <w:tbl>
      <w:tblPr>
        <w:tblW w:w="930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3100"/>
        <w:gridCol w:w="3100"/>
        <w:gridCol w:w="3100"/>
      </w:tblGrid>
      <w:tr w:rsidR="002F703B" w14:paraId="7C455BF2" w14:textId="77777777">
        <w:trPr>
          <w:cantSplit/>
          <w:tblHeader/>
          <w:tblHeader w:val="true"/>
        </w:trPr>
        <w:tc>
          <w:tcPr>
            <w:tcW w:w="31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0AB91354" w14:textId="77777777" w:rsidR="002F703B" w:rsidRDefault="00000000">
            <w:pPr>
              <w:spacing w:before="0" w:after="0"/>
              <w:jc w:val="both"/>
            </w:pPr>
            <w:r>
              <w:rPr>
                <w:rFonts w:ascii="Times New Roman" w:hAnsi="Times New Roman"/>
                <w:b/>
                <w:bCs/>
                <w:sz w:val="15"/>
                <w:szCs w:val="19"/>
              </w:rPr>
              <w:t>Setting</w:t>
            </w:r>
          </w:p>
        </w:tc>
        <w:tc>
          <w:tcPr>
            <w:tcW w:w="31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79272500" w14:textId="77777777" w:rsidR="002F703B" w:rsidRDefault="00000000">
            <w:pPr>
              <w:spacing w:before="0" w:after="0"/>
              <w:jc w:val="both"/>
            </w:pPr>
            <w:r>
              <w:rPr>
                <w:rFonts w:ascii="Times New Roman" w:hAnsi="Times New Roman"/>
                <w:b/>
                <w:bCs/>
                <w:sz w:val="15"/>
                <w:szCs w:val="19"/>
              </w:rPr>
              <w:t>GPT-4o without RAG</w:t>
            </w:r>
          </w:p>
        </w:tc>
        <w:tc>
          <w:tcPr>
            <w:tcW w:w="31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6DC366A3" w14:textId="77777777" w:rsidR="002F703B" w:rsidRDefault="00000000">
            <w:pPr>
              <w:spacing w:before="0" w:after="0"/>
              <w:jc w:val="both"/>
            </w:pPr>
            <w:r>
              <w:rPr>
                <w:rFonts w:ascii="Times New Roman" w:hAnsi="Times New Roman"/>
                <w:b/>
                <w:bCs/>
                <w:sz w:val="15"/>
                <w:szCs w:val="19"/>
              </w:rPr>
              <w:t>GPT-4o with RAG</w:t>
            </w:r>
          </w:p>
        </w:tc>
      </w:tr>
      <w:tr w:rsidR="002F703B" w14:paraId="46478151"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BE53FF0" w14:textId="77777777" w:rsidR="002F703B" w:rsidRDefault="00000000">
            <w:pPr>
              <w:spacing w:before="0" w:after="0"/>
              <w:jc w:val="both"/>
            </w:pPr>
            <w:r>
              <w:rPr>
                <w:rFonts w:ascii="Times New Roman" w:hAnsi="Times New Roman"/>
                <w:sz w:val="15"/>
                <w:szCs w:val="19"/>
              </w:rPr>
              <w:t>Recorded model metadata</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4D298C0" w14:textId="77777777" w:rsidR="002F703B" w:rsidRDefault="00000000">
            <w:pPr>
              <w:spacing w:before="0" w:after="0"/>
              <w:jc w:val="both"/>
            </w:pPr>
            <w:r>
              <w:rPr>
                <w:rFonts w:ascii="Times New Roman" w:hAnsi="Times New Roman"/>
                <w:sz w:val="15"/>
                <w:szCs w:val="19"/>
              </w:rPr>
              <w:t>GPT-4o API configuration used in the original paired run; exact dated model identifier not recorded</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E3AF14A" w14:textId="77777777" w:rsidR="002F703B" w:rsidRDefault="00000000">
            <w:pPr>
              <w:spacing w:before="0" w:after="0"/>
              <w:jc w:val="both"/>
            </w:pPr>
            <w:r>
              <w:rPr>
                <w:rFonts w:ascii="Times New Roman" w:hAnsi="Times New Roman"/>
                <w:sz w:val="15"/>
                <w:szCs w:val="19"/>
              </w:rPr>
              <w:t>Same recorded GPT-4o API configuration; exact dated model identifier not recorded</w:t>
            </w:r>
          </w:p>
        </w:tc>
      </w:tr>
      <w:tr w:rsidR="002F703B" w14:paraId="6E0FC371"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038EDAC" w14:textId="77777777" w:rsidR="002F703B" w:rsidRDefault="00000000">
            <w:pPr>
              <w:spacing w:before="0" w:after="0"/>
              <w:jc w:val="both"/>
            </w:pPr>
            <w:r>
              <w:rPr>
                <w:rFonts w:ascii="Times New Roman" w:hAnsi="Times New Roman"/>
                <w:sz w:val="15"/>
                <w:szCs w:val="19"/>
              </w:rPr>
              <w:t>Questions</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302B2E1" w14:textId="77777777" w:rsidR="002F703B" w:rsidRDefault="00000000">
            <w:pPr>
              <w:spacing w:before="0" w:after="0"/>
              <w:jc w:val="both"/>
            </w:pPr>
            <w:r>
              <w:rPr>
                <w:rFonts w:ascii="Times New Roman" w:hAnsi="Times New Roman"/>
                <w:sz w:val="15"/>
                <w:szCs w:val="19"/>
              </w:rPr>
              <w:t>Same 80-question evaluation set</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99541F1" w14:textId="77777777" w:rsidR="002F703B" w:rsidRDefault="00000000">
            <w:pPr>
              <w:spacing w:before="0" w:after="0"/>
              <w:jc w:val="both"/>
            </w:pPr>
            <w:r>
              <w:rPr>
                <w:rFonts w:ascii="Times New Roman" w:hAnsi="Times New Roman"/>
                <w:sz w:val="15"/>
                <w:szCs w:val="19"/>
              </w:rPr>
              <w:t>Same</w:t>
            </w:r>
          </w:p>
        </w:tc>
      </w:tr>
      <w:tr w:rsidR="002F703B" w14:paraId="12669E1C"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DC9C0DB" w14:textId="77777777" w:rsidR="002F703B" w:rsidRDefault="00000000">
            <w:pPr>
              <w:spacing w:before="0" w:after="0"/>
              <w:jc w:val="both"/>
            </w:pPr>
            <w:r>
              <w:rPr>
                <w:rFonts w:ascii="Times New Roman" w:hAnsi="Times New Roman"/>
                <w:sz w:val="15"/>
                <w:szCs w:val="19"/>
              </w:rPr>
              <w:lastRenderedPageBreak/>
              <w:t>Temperature</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FF886AB" w14:textId="77777777" w:rsidR="002F703B" w:rsidRDefault="00000000">
            <w:pPr>
              <w:spacing w:before="0" w:after="0"/>
              <w:jc w:val="both"/>
            </w:pPr>
            <w:r>
              <w:rPr>
                <w:rFonts w:ascii="Times New Roman" w:hAnsi="Times New Roman"/>
                <w:sz w:val="15"/>
                <w:szCs w:val="19"/>
              </w:rPr>
              <w:t>0.0</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C534ABA" w14:textId="77777777" w:rsidR="002F703B" w:rsidRDefault="00000000">
            <w:pPr>
              <w:spacing w:before="0" w:after="0"/>
              <w:jc w:val="both"/>
            </w:pPr>
            <w:r>
              <w:rPr>
                <w:rFonts w:ascii="Times New Roman" w:hAnsi="Times New Roman"/>
                <w:sz w:val="15"/>
                <w:szCs w:val="19"/>
              </w:rPr>
              <w:t>0.0</w:t>
            </w:r>
          </w:p>
        </w:tc>
      </w:tr>
      <w:tr w:rsidR="002F703B" w14:paraId="56DEB7B4"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5CC582A" w14:textId="77777777" w:rsidR="002F703B" w:rsidRDefault="00000000">
            <w:pPr>
              <w:spacing w:before="0" w:after="0"/>
              <w:jc w:val="both"/>
            </w:pPr>
            <w:r>
              <w:rPr>
                <w:rFonts w:ascii="Times New Roman" w:hAnsi="Times New Roman"/>
                <w:sz w:val="15"/>
                <w:szCs w:val="19"/>
              </w:rPr>
              <w:t>Maximum output</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B5EFB62" w14:textId="77777777" w:rsidR="002F703B" w:rsidRDefault="00000000">
            <w:pPr>
              <w:spacing w:before="0" w:after="0"/>
              <w:jc w:val="both"/>
            </w:pPr>
            <w:r>
              <w:rPr>
                <w:rFonts w:ascii="Times New Roman" w:hAnsi="Times New Roman"/>
                <w:sz w:val="15"/>
                <w:szCs w:val="19"/>
              </w:rPr>
              <w:t>800 tokens</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5DE93F3" w14:textId="77777777" w:rsidR="002F703B" w:rsidRDefault="00000000">
            <w:pPr>
              <w:spacing w:before="0" w:after="0"/>
              <w:jc w:val="both"/>
            </w:pPr>
            <w:r>
              <w:rPr>
                <w:rFonts w:ascii="Times New Roman" w:hAnsi="Times New Roman"/>
                <w:sz w:val="15"/>
                <w:szCs w:val="19"/>
              </w:rPr>
              <w:t>800 tokens</w:t>
            </w:r>
          </w:p>
        </w:tc>
      </w:tr>
      <w:tr w:rsidR="002F703B" w14:paraId="3F446A2F"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93A59D8" w14:textId="77777777" w:rsidR="002F703B" w:rsidRDefault="00000000">
            <w:pPr>
              <w:spacing w:before="0" w:after="0"/>
              <w:jc w:val="both"/>
            </w:pPr>
            <w:r>
              <w:rPr>
                <w:rFonts w:ascii="Times New Roman" w:hAnsi="Times New Roman"/>
                <w:sz w:val="15"/>
                <w:szCs w:val="19"/>
              </w:rPr>
              <w:t>Retrieval</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E958B10" w14:textId="77777777" w:rsidR="002F703B" w:rsidRDefault="00000000">
            <w:pPr>
              <w:spacing w:before="0" w:after="0"/>
              <w:jc w:val="both"/>
            </w:pPr>
            <w:r>
              <w:rPr>
                <w:rFonts w:ascii="Times New Roman" w:hAnsi="Times New Roman"/>
                <w:sz w:val="15"/>
                <w:szCs w:val="19"/>
              </w:rPr>
              <w:t>None</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A04A541" w14:textId="77777777" w:rsidR="002F703B" w:rsidRDefault="00000000">
            <w:pPr>
              <w:spacing w:before="0" w:after="0"/>
              <w:jc w:val="both"/>
            </w:pPr>
            <w:r>
              <w:rPr>
                <w:rFonts w:ascii="Times New Roman" w:hAnsi="Times New Roman"/>
                <w:sz w:val="15"/>
                <w:szCs w:val="19"/>
              </w:rPr>
              <w:t>Hybrid top-five</w:t>
            </w:r>
          </w:p>
        </w:tc>
      </w:tr>
      <w:tr w:rsidR="002F703B" w14:paraId="0CDA8055"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EAA500F" w14:textId="77777777" w:rsidR="002F703B" w:rsidRDefault="00000000">
            <w:pPr>
              <w:spacing w:before="0" w:after="0"/>
              <w:jc w:val="both"/>
            </w:pPr>
            <w:r>
              <w:rPr>
                <w:rFonts w:ascii="Times New Roman" w:hAnsi="Times New Roman"/>
                <w:sz w:val="15"/>
                <w:szCs w:val="19"/>
              </w:rPr>
              <w:t>External context</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6CE3820" w14:textId="77777777" w:rsidR="002F703B" w:rsidRDefault="00000000">
            <w:pPr>
              <w:spacing w:before="0" w:after="0"/>
              <w:jc w:val="both"/>
            </w:pPr>
            <w:r>
              <w:rPr>
                <w:rFonts w:ascii="Times New Roman" w:hAnsi="Times New Roman"/>
                <w:sz w:val="15"/>
                <w:szCs w:val="19"/>
              </w:rPr>
              <w:t>None</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04BF3F3" w14:textId="77777777" w:rsidR="002F703B" w:rsidRDefault="00000000">
            <w:pPr>
              <w:spacing w:before="0" w:after="0"/>
              <w:jc w:val="both"/>
            </w:pPr>
            <w:r>
              <w:rPr>
                <w:rFonts w:ascii="Times New Roman" w:hAnsi="Times New Roman"/>
                <w:sz w:val="15"/>
                <w:szCs w:val="19"/>
              </w:rPr>
              <w:t>Retrieved NDC/IPCC passages</w:t>
            </w:r>
          </w:p>
        </w:tc>
      </w:tr>
      <w:tr w:rsidR="002F703B" w14:paraId="14FFCF0F"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579E232" w14:textId="77777777" w:rsidR="002F703B" w:rsidRDefault="00000000">
            <w:pPr>
              <w:spacing w:before="0" w:after="0"/>
              <w:jc w:val="both"/>
            </w:pPr>
            <w:r>
              <w:rPr>
                <w:rFonts w:ascii="Times New Roman" w:hAnsi="Times New Roman"/>
                <w:sz w:val="15"/>
                <w:szCs w:val="19"/>
              </w:rPr>
              <w:t>Knowledge instruction</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FE75D2D" w14:textId="77777777" w:rsidR="002F703B" w:rsidRDefault="00000000">
            <w:pPr>
              <w:spacing w:before="0" w:after="0"/>
              <w:jc w:val="both"/>
            </w:pPr>
            <w:r>
              <w:rPr>
                <w:rFonts w:ascii="Times New Roman" w:hAnsi="Times New Roman"/>
                <w:sz w:val="15"/>
                <w:szCs w:val="19"/>
              </w:rPr>
              <w:t>Parametric knowledge permitted</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9EE45FE" w14:textId="77777777" w:rsidR="002F703B" w:rsidRDefault="00000000">
            <w:pPr>
              <w:spacing w:before="0" w:after="0"/>
              <w:jc w:val="both"/>
            </w:pPr>
            <w:r>
              <w:rPr>
                <w:rFonts w:ascii="Times New Roman" w:hAnsi="Times New Roman"/>
                <w:sz w:val="15"/>
                <w:szCs w:val="19"/>
              </w:rPr>
              <w:t>Retrieved evidence only</w:t>
            </w:r>
          </w:p>
        </w:tc>
      </w:tr>
      <w:tr w:rsidR="002F703B" w14:paraId="340A4F68"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4B72540" w14:textId="77777777" w:rsidR="002F703B" w:rsidRDefault="00000000">
            <w:pPr>
              <w:spacing w:before="0" w:after="0"/>
              <w:jc w:val="both"/>
            </w:pPr>
            <w:r>
              <w:rPr>
                <w:rFonts w:ascii="Times New Roman" w:hAnsi="Times New Roman"/>
                <w:sz w:val="15"/>
                <w:szCs w:val="19"/>
              </w:rPr>
              <w:t>Citation instruction</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11CE7EE" w14:textId="77777777" w:rsidR="002F703B" w:rsidRDefault="00000000">
            <w:pPr>
              <w:spacing w:before="0" w:after="0"/>
              <w:jc w:val="both"/>
            </w:pPr>
            <w:r>
              <w:rPr>
                <w:rFonts w:ascii="Times New Roman" w:hAnsi="Times New Roman"/>
                <w:sz w:val="15"/>
                <w:szCs w:val="19"/>
              </w:rPr>
              <w:t>Do not invent citations</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CFA93F0" w14:textId="77777777" w:rsidR="002F703B" w:rsidRDefault="00000000">
            <w:pPr>
              <w:spacing w:before="0" w:after="0"/>
              <w:jc w:val="both"/>
            </w:pPr>
            <w:r>
              <w:rPr>
                <w:rFonts w:ascii="Times New Roman" w:hAnsi="Times New Roman"/>
                <w:sz w:val="15"/>
                <w:szCs w:val="19"/>
              </w:rPr>
              <w:t>Cite document ID and page</w:t>
            </w:r>
          </w:p>
        </w:tc>
      </w:tr>
      <w:tr w:rsidR="002F703B" w14:paraId="7CE9A8BD"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A950DF2" w14:textId="77777777" w:rsidR="002F703B" w:rsidRDefault="00000000">
            <w:pPr>
              <w:spacing w:before="0" w:after="0"/>
              <w:jc w:val="both"/>
            </w:pPr>
            <w:r>
              <w:rPr>
                <w:rFonts w:ascii="Times New Roman" w:hAnsi="Times New Roman"/>
                <w:sz w:val="15"/>
                <w:szCs w:val="19"/>
              </w:rPr>
              <w:t>Uncertainty instruction</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344A321" w14:textId="77777777" w:rsidR="002F703B" w:rsidRDefault="00000000">
            <w:pPr>
              <w:spacing w:before="0" w:after="0"/>
              <w:jc w:val="both"/>
            </w:pPr>
            <w:r>
              <w:rPr>
                <w:rFonts w:ascii="Times New Roman" w:hAnsi="Times New Roman"/>
                <w:sz w:val="15"/>
                <w:szCs w:val="19"/>
              </w:rPr>
              <w:t>State uncertainty</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B32F4E4" w14:textId="77777777" w:rsidR="002F703B" w:rsidRDefault="00000000">
            <w:pPr>
              <w:spacing w:before="0" w:after="0"/>
              <w:jc w:val="both"/>
            </w:pPr>
            <w:r>
              <w:rPr>
                <w:rFonts w:ascii="Times New Roman" w:hAnsi="Times New Roman"/>
                <w:sz w:val="15"/>
                <w:szCs w:val="19"/>
              </w:rPr>
              <w:t>State insufficient context</w:t>
            </w:r>
          </w:p>
        </w:tc>
      </w:tr>
      <w:tr w:rsidR="002F703B" w14:paraId="05BB1091"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AFB59AA" w14:textId="77777777" w:rsidR="002F703B" w:rsidRDefault="00000000">
            <w:pPr>
              <w:spacing w:before="0" w:after="0"/>
              <w:jc w:val="both"/>
            </w:pPr>
            <w:r>
              <w:rPr>
                <w:rFonts w:ascii="Times New Roman" w:hAnsi="Times New Roman"/>
                <w:sz w:val="15"/>
                <w:szCs w:val="19"/>
              </w:rPr>
              <w:t>Evaluation evidence</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7ABA41B" w14:textId="504E2CEE" w:rsidR="002F703B" w:rsidRDefault="00000000">
            <w:pPr>
              <w:spacing w:before="0" w:after="0"/>
              <w:jc w:val="both"/>
            </w:pPr>
            <w:r>
              <w:rPr>
                <w:rFonts w:ascii="Times New Roman" w:hAnsi="Times New Roman"/>
                <w:sz w:val="15"/>
                <w:szCs w:val="19"/>
              </w:rPr>
              <w:t xml:space="preserve">Author-prepared evidence package; same package used for both conditions</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EC34F03" w14:textId="77777777" w:rsidR="002F703B" w:rsidRDefault="00000000">
            <w:pPr>
              <w:spacing w:before="0" w:after="0"/>
              <w:jc w:val="both"/>
            </w:pPr>
            <w:r>
              <w:rPr>
                <w:rFonts w:ascii="Times New Roman" w:hAnsi="Times New Roman"/>
                <w:sz w:val="15"/>
                <w:szCs w:val="19"/>
              </w:rPr>
              <w:t xml:space="preserve">Author-prepared evidence package; same package used for both conditions</w:t>
            </w:r>
          </w:p>
        </w:tc>
      </w:tr>
      <w:tr w:rsidR="002F703B" w14:paraId="0F35A5CB" w14:textId="77777777">
        <w:trPr>
          <w:cantSplit/>
        </w:trPr>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477426B" w14:textId="77777777" w:rsidR="002F703B" w:rsidRDefault="00000000">
            <w:pPr>
              <w:spacing w:before="0" w:after="0"/>
              <w:jc w:val="both"/>
            </w:pPr>
            <w:r>
              <w:rPr>
                <w:rFonts w:ascii="Times New Roman" w:hAnsi="Times New Roman"/>
                <w:sz w:val="15"/>
                <w:szCs w:val="19"/>
              </w:rPr>
              <w:t>Claim judge</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E3C0878" w14:textId="77777777" w:rsidR="002F703B" w:rsidRDefault="00000000">
            <w:pPr>
              <w:spacing w:before="0" w:after="0"/>
              <w:jc w:val="both"/>
            </w:pPr>
            <w:r>
              <w:rPr>
                <w:rFonts w:ascii="Times New Roman" w:hAnsi="Times New Roman"/>
                <w:sz w:val="15"/>
                <w:szCs w:val="19"/>
              </w:rPr>
              <w:t>GPT-4o-mini automated judge; no expert-human claim adjudication</w:t>
            </w:r>
          </w:p>
        </w:tc>
        <w:tc>
          <w:tcPr>
            <w:tcW w:w="31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01DB858" w14:textId="77777777" w:rsidR="002F703B" w:rsidRDefault="00000000">
            <w:pPr>
              <w:spacing w:before="0" w:after="0"/>
              <w:jc w:val="both"/>
            </w:pPr>
            <w:r>
              <w:rPr>
                <w:rFonts w:ascii="Times New Roman" w:hAnsi="Times New Roman"/>
                <w:sz w:val="15"/>
                <w:szCs w:val="19"/>
              </w:rPr>
              <w:t>GPT-4o-mini automated judge; no expert-human claim adjudication</w:t>
            </w:r>
          </w:p>
        </w:tc>
      </w:tr>
    </w:tbl>
    <w:p>
      <w:pPr>
        <w:pStyle w:val="Heading2"/>
      </w:pPr>
      <w:r>
        <w:t>RAG prompt</w:t>
      </w:r>
    </w:p>
    <w:p>
      <w:r>
        <w:rPr>
          <w:rFonts w:ascii="Courier New" w:hAnsi="Courier New"/>
          <w:sz w:val="15"/>
        </w:rPr>
        <w:t>Role: You are a climate policy analyst with access only to the supplied source evidence.</w:t>
        <w:br/>
        <w:br/>
        <w:t>Answer using only the information contained in the retrieved context. Do not introduce unsupported information. If the context does not contain sufficient evidence, state this explicitly.</w:t>
        <w:br/>
        <w:br/>
        <w:t>Cite factual claims using the supplied document identifier and page number.</w:t>
        <w:br/>
        <w:br/>
        <w:t>Retrieved context:</w:t>
        <w:br/>
        <w:t>{{TOP_5_RETRIEVED_CHUNKS}}</w:t>
        <w:br/>
        <w:br/>
        <w:t>Question:</w:t>
        <w:br/>
        <w:t>{{QUESTION}}</w:t>
        <w:br/>
      </w:r>
    </w:p>
    <w:p>
      <w:pPr>
        <w:pStyle w:val="Heading2"/>
      </w:pPr>
      <w:r>
        <w:t>No-RAG prompt</w:t>
      </w:r>
    </w:p>
    <w:p>
      <w:r>
        <w:rPr>
          <w:rFonts w:ascii="Courier New" w:hAnsi="Courier New"/>
          <w:sz w:val="15"/>
        </w:rPr>
        <w:t>Role: You are a climate policy analyst.</w:t>
        <w:br/>
        <w:br/>
        <w:t>Answer the following question as accurately and specifically as possible using your internal model knowledge. No external documents, retrieved passages or document metadata are available.</w:t>
        <w:br/>
        <w:br/>
        <w:t>Do not invent quotations, document identifiers, page numbers, source passages or citations. Where you cannot verify a specific value, target year, baseline year, country commitment or IPCC reference, state that uncertainty explicitly.</w:t>
        <w:br/>
        <w:br/>
        <w:t>Question:</w:t>
        <w:br/>
        <w:t>{{QUESTION}}</w:t>
        <w:br/>
      </w:r>
    </w:p>
    <w:p>
      <w:pPr>
        <w:pStyle w:val="Heading1"/>
      </w:pPr>
      <w:r>
        <w:t>S7. Evaluation-Set Composition and Single-Reviewer Audit</w:t>
      </w:r>
    </w:p>
    <w:p>
      <w:pPr>
        <w:spacing w:before="120" w:after="60"/>
      </w:pPr>
      <w:r>
        <w:rPr>
          <w:b/>
        </w:rPr>
        <w:t>Supplementary Table S7. Question composition by category and difficulty.</w:t>
      </w:r>
    </w:p>
    <w:tbl>
      <w:tblPr>
        <w:tblW w:w="72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200"/>
        <w:gridCol w:w="1200"/>
        <w:gridCol w:w="1200"/>
        <w:gridCol w:w="1200"/>
      </w:tblGrid>
      <w:tr w:rsidR="000A3FB3" w14:paraId="5CAE44A1" w14:textId="77777777">
        <w:trPr>
          <w:cantSplit/>
          <w:tblHeader/>
          <w:tblHeader w:val="true"/>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4F2612B6" w14:textId="77777777" w:rsidR="000A3FB3" w:rsidRDefault="00000000" w:rsidP="00786156">
            <w:pPr>
              <w:spacing w:before="0" w:after="0"/>
              <w:jc w:val="both"/>
            </w:pPr>
            <w:r>
              <w:rPr>
                <w:rFonts w:ascii="Times New Roman" w:hAnsi="Times New Roman"/>
                <w:b/>
                <w:bCs/>
                <w:color w:val="000000"/>
                <w:sz w:val="15"/>
                <w:szCs w:val="20"/>
              </w:rPr>
              <w:t>Category</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02A8BCC4" w14:textId="77777777" w:rsidR="000A3FB3" w:rsidRDefault="00000000" w:rsidP="00786156">
            <w:pPr>
              <w:spacing w:before="0" w:after="0"/>
              <w:jc w:val="both"/>
            </w:pPr>
            <w:r>
              <w:rPr>
                <w:rFonts w:ascii="Times New Roman" w:hAnsi="Times New Roman"/>
                <w:b/>
                <w:bCs/>
                <w:color w:val="000000"/>
                <w:sz w:val="15"/>
                <w:szCs w:val="20"/>
              </w:rPr>
              <w:t>Easy</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E5E6D38" w14:textId="77777777" w:rsidR="000A3FB3" w:rsidRDefault="00000000" w:rsidP="00786156">
            <w:pPr>
              <w:spacing w:before="0" w:after="0"/>
              <w:jc w:val="both"/>
            </w:pPr>
            <w:r>
              <w:rPr>
                <w:rFonts w:ascii="Times New Roman" w:hAnsi="Times New Roman"/>
                <w:b/>
                <w:bCs/>
                <w:color w:val="000000"/>
                <w:sz w:val="15"/>
                <w:szCs w:val="20"/>
              </w:rPr>
              <w:t>Medium</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2790B1CC" w14:textId="77777777" w:rsidR="000A3FB3" w:rsidRDefault="00000000" w:rsidP="00786156">
            <w:pPr>
              <w:spacing w:before="0" w:after="0"/>
              <w:jc w:val="both"/>
            </w:pPr>
            <w:r>
              <w:rPr>
                <w:rFonts w:ascii="Times New Roman" w:hAnsi="Times New Roman"/>
                <w:b/>
                <w:bCs/>
                <w:color w:val="000000"/>
                <w:sz w:val="15"/>
                <w:szCs w:val="20"/>
              </w:rPr>
              <w:t>Hard</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7501AF48" w14:textId="77777777" w:rsidR="000A3FB3" w:rsidRDefault="00000000" w:rsidP="00786156">
            <w:pPr>
              <w:spacing w:before="0" w:after="0"/>
              <w:jc w:val="both"/>
            </w:pPr>
            <w:r>
              <w:rPr>
                <w:rFonts w:ascii="Times New Roman" w:hAnsi="Times New Roman"/>
                <w:b/>
                <w:bCs/>
                <w:color w:val="000000"/>
                <w:sz w:val="15"/>
                <w:szCs w:val="20"/>
              </w:rPr>
              <w:t>Total</w:t>
            </w:r>
          </w:p>
        </w:tc>
      </w:tr>
      <w:tr w:rsidR="000A3FB3" w14:paraId="5527762A"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48BCED9" w14:textId="77777777" w:rsidR="000A3FB3" w:rsidRDefault="00000000" w:rsidP="00786156">
            <w:pPr>
              <w:spacing w:before="0" w:after="0"/>
              <w:jc w:val="both"/>
            </w:pPr>
            <w:r>
              <w:rPr>
                <w:rFonts w:ascii="Times New Roman" w:hAnsi="Times New Roman"/>
                <w:color w:val="000000"/>
                <w:sz w:val="15"/>
                <w:szCs w:val="20"/>
              </w:rPr>
              <w:t>Factual</w:t>
            </w:r>
          </w:p>
        </w:tc>
        <w:tc>
          <w:tcPr>
            <w:tcW w:w="1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28B2610" w14:textId="77777777" w:rsidR="000A3FB3" w:rsidRDefault="00000000" w:rsidP="00786156">
            <w:pPr>
              <w:spacing w:before="0" w:after="0"/>
              <w:jc w:val="both"/>
            </w:pPr>
            <w:r>
              <w:rPr>
                <w:rFonts w:ascii="Times New Roman" w:hAnsi="Times New Roman"/>
                <w:color w:val="000000"/>
                <w:sz w:val="15"/>
                <w:szCs w:val="20"/>
              </w:rPr>
              <w:t>8</w:t>
            </w:r>
          </w:p>
        </w:tc>
        <w:tc>
          <w:tcPr>
            <w:tcW w:w="1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F3FF560" w14:textId="77777777" w:rsidR="000A3FB3" w:rsidRDefault="00000000" w:rsidP="00786156">
            <w:pPr>
              <w:spacing w:before="0" w:after="0"/>
              <w:jc w:val="both"/>
            </w:pPr>
            <w:r>
              <w:rPr>
                <w:rFonts w:ascii="Times New Roman" w:hAnsi="Times New Roman"/>
                <w:color w:val="000000"/>
                <w:sz w:val="15"/>
                <w:szCs w:val="20"/>
              </w:rPr>
              <w:t>7</w:t>
            </w:r>
          </w:p>
        </w:tc>
        <w:tc>
          <w:tcPr>
            <w:tcW w:w="1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3B53B3D" w14:textId="77777777" w:rsidR="000A3FB3" w:rsidRDefault="00000000" w:rsidP="00786156">
            <w:pPr>
              <w:spacing w:before="0" w:after="0"/>
              <w:jc w:val="both"/>
            </w:pPr>
            <w:r>
              <w:rPr>
                <w:rFonts w:ascii="Times New Roman" w:hAnsi="Times New Roman"/>
                <w:color w:val="000000"/>
                <w:sz w:val="15"/>
                <w:szCs w:val="20"/>
              </w:rPr>
              <w:t>15</w:t>
            </w:r>
          </w:p>
        </w:tc>
        <w:tc>
          <w:tcPr>
            <w:tcW w:w="1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AAE8B6C" w14:textId="77777777" w:rsidR="000A3FB3" w:rsidRDefault="00000000" w:rsidP="00786156">
            <w:pPr>
              <w:spacing w:before="0" w:after="0"/>
              <w:jc w:val="both"/>
            </w:pPr>
            <w:r>
              <w:rPr>
                <w:rFonts w:ascii="Times New Roman" w:hAnsi="Times New Roman"/>
                <w:color w:val="000000"/>
                <w:sz w:val="15"/>
                <w:szCs w:val="20"/>
              </w:rPr>
              <w:t>30</w:t>
            </w:r>
          </w:p>
        </w:tc>
      </w:tr>
      <w:tr w:rsidR="000A3FB3" w14:paraId="08BE5D31" w14:textId="77777777">
        <w:trPr>
          <w:cantSplit/>
        </w:trPr>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65ED117B" w14:textId="77777777" w:rsidR="000A3FB3" w:rsidRDefault="00000000" w:rsidP="00786156">
            <w:pPr>
              <w:spacing w:before="0" w:after="0"/>
              <w:jc w:val="both"/>
            </w:pPr>
            <w:r>
              <w:rPr>
                <w:rFonts w:ascii="Times New Roman" w:hAnsi="Times New Roman"/>
                <w:color w:val="000000"/>
                <w:sz w:val="15"/>
                <w:szCs w:val="20"/>
              </w:rPr>
              <w:t>Comparative</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2C48EEC" w14:textId="77777777" w:rsidR="000A3FB3" w:rsidRDefault="00000000" w:rsidP="00786156">
            <w:pPr>
              <w:spacing w:before="0" w:after="0"/>
              <w:jc w:val="both"/>
            </w:pPr>
            <w:r>
              <w:rPr>
                <w:rFonts w:ascii="Times New Roman" w:hAnsi="Times New Roman"/>
                <w:color w:val="000000"/>
                <w:sz w:val="15"/>
                <w:szCs w:val="20"/>
              </w:rPr>
              <w:t>2</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59ABDB82" w14:textId="77777777" w:rsidR="000A3FB3" w:rsidRDefault="00000000" w:rsidP="00786156">
            <w:pPr>
              <w:spacing w:before="0" w:after="0"/>
              <w:jc w:val="both"/>
            </w:pPr>
            <w:r>
              <w:rPr>
                <w:rFonts w:ascii="Times New Roman" w:hAnsi="Times New Roman"/>
                <w:color w:val="000000"/>
                <w:sz w:val="15"/>
                <w:szCs w:val="20"/>
              </w:rPr>
              <w:t>4</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3110FA05" w14:textId="77777777" w:rsidR="000A3FB3" w:rsidRDefault="00000000" w:rsidP="00786156">
            <w:pPr>
              <w:spacing w:before="0" w:after="0"/>
              <w:jc w:val="both"/>
            </w:pPr>
            <w:r>
              <w:rPr>
                <w:rFonts w:ascii="Times New Roman" w:hAnsi="Times New Roman"/>
                <w:color w:val="000000"/>
                <w:sz w:val="15"/>
                <w:szCs w:val="20"/>
              </w:rPr>
              <w:t>19</w:t>
            </w:r>
          </w:p>
        </w:tc>
        <w:tc>
          <w:tcPr>
            <w:tcW w:w="12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73546BF4" w14:textId="77777777" w:rsidR="000A3FB3" w:rsidRDefault="00000000" w:rsidP="00786156">
            <w:pPr>
              <w:spacing w:before="0" w:after="0"/>
              <w:jc w:val="both"/>
            </w:pPr>
            <w:r>
              <w:rPr>
                <w:rFonts w:ascii="Times New Roman" w:hAnsi="Times New Roman"/>
                <w:color w:val="000000"/>
                <w:sz w:val="15"/>
                <w:szCs w:val="20"/>
              </w:rPr>
              <w:t>25</w:t>
            </w:r>
          </w:p>
        </w:tc>
      </w:tr>
      <w:tr w:rsidR="000A3FB3" w14:paraId="562113B1"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A09C37F" w14:textId="77777777" w:rsidR="000A3FB3" w:rsidRDefault="00000000" w:rsidP="00786156">
            <w:pPr>
              <w:spacing w:before="0" w:after="0"/>
              <w:jc w:val="both"/>
            </w:pPr>
            <w:r>
              <w:rPr>
                <w:rFonts w:ascii="Times New Roman" w:hAnsi="Times New Roman"/>
                <w:color w:val="000000"/>
                <w:sz w:val="15"/>
                <w:szCs w:val="20"/>
              </w:rPr>
              <w:t>Gap Detection</w:t>
            </w:r>
          </w:p>
        </w:tc>
        <w:tc>
          <w:tcPr>
            <w:tcW w:w="1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39D966F" w14:textId="77777777" w:rsidR="000A3FB3" w:rsidRDefault="00000000" w:rsidP="00786156">
            <w:pPr>
              <w:spacing w:before="0" w:after="0"/>
              <w:jc w:val="both"/>
            </w:pPr>
            <w:r>
              <w:rPr>
                <w:rFonts w:ascii="Times New Roman" w:hAnsi="Times New Roman"/>
                <w:color w:val="000000"/>
                <w:sz w:val="15"/>
                <w:szCs w:val="20"/>
              </w:rPr>
              <w:t>2</w:t>
            </w:r>
          </w:p>
        </w:tc>
        <w:tc>
          <w:tcPr>
            <w:tcW w:w="1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FA0FC1D" w14:textId="77777777" w:rsidR="000A3FB3" w:rsidRDefault="00000000" w:rsidP="00786156">
            <w:pPr>
              <w:spacing w:before="0" w:after="0"/>
              <w:jc w:val="both"/>
            </w:pPr>
            <w:r>
              <w:rPr>
                <w:rFonts w:ascii="Times New Roman" w:hAnsi="Times New Roman"/>
                <w:color w:val="000000"/>
                <w:sz w:val="15"/>
                <w:szCs w:val="20"/>
              </w:rPr>
              <w:t>3</w:t>
            </w:r>
          </w:p>
        </w:tc>
        <w:tc>
          <w:tcPr>
            <w:tcW w:w="1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DF4AB92" w14:textId="77777777" w:rsidR="000A3FB3" w:rsidRDefault="00000000" w:rsidP="00786156">
            <w:pPr>
              <w:spacing w:before="0" w:after="0"/>
              <w:jc w:val="both"/>
            </w:pPr>
            <w:r>
              <w:rPr>
                <w:rFonts w:ascii="Times New Roman" w:hAnsi="Times New Roman"/>
                <w:color w:val="000000"/>
                <w:sz w:val="15"/>
                <w:szCs w:val="20"/>
              </w:rPr>
              <w:t>20</w:t>
            </w:r>
          </w:p>
        </w:tc>
        <w:tc>
          <w:tcPr>
            <w:tcW w:w="1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E66BB02" w14:textId="77777777" w:rsidR="000A3FB3" w:rsidRDefault="00000000" w:rsidP="00786156">
            <w:pPr>
              <w:spacing w:before="0" w:after="0"/>
              <w:jc w:val="both"/>
            </w:pPr>
            <w:r>
              <w:rPr>
                <w:rFonts w:ascii="Times New Roman" w:hAnsi="Times New Roman"/>
                <w:color w:val="000000"/>
                <w:sz w:val="15"/>
                <w:szCs w:val="20"/>
              </w:rPr>
              <w:t>25</w:t>
            </w:r>
          </w:p>
        </w:tc>
      </w:tr>
      <w:tr w:rsidR="000A3FB3" w14:paraId="31E22F8C" w14:textId="77777777">
        <w:trPr>
          <w:cantSplit/>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4DFD5095" w14:textId="77777777" w:rsidR="000A3FB3" w:rsidRDefault="00000000" w:rsidP="00786156">
            <w:pPr>
              <w:spacing w:before="0" w:after="0"/>
              <w:jc w:val="both"/>
            </w:pPr>
            <w:r>
              <w:rPr>
                <w:rFonts w:ascii="Times New Roman" w:hAnsi="Times New Roman"/>
                <w:b/>
                <w:bCs/>
                <w:color w:val="000000"/>
                <w:sz w:val="15"/>
                <w:szCs w:val="20"/>
              </w:rPr>
              <w:t>Total</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0A093175" w14:textId="77777777" w:rsidR="000A3FB3" w:rsidRDefault="00000000" w:rsidP="00786156">
            <w:pPr>
              <w:spacing w:before="0" w:after="0"/>
              <w:jc w:val="both"/>
            </w:pPr>
            <w:r>
              <w:rPr>
                <w:rFonts w:ascii="Times New Roman" w:hAnsi="Times New Roman"/>
                <w:b/>
                <w:bCs/>
                <w:color w:val="000000"/>
                <w:sz w:val="15"/>
                <w:szCs w:val="20"/>
              </w:rPr>
              <w:t>12</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DBB1A5E" w14:textId="77777777" w:rsidR="000A3FB3" w:rsidRDefault="00000000" w:rsidP="00786156">
            <w:pPr>
              <w:spacing w:before="0" w:after="0"/>
              <w:jc w:val="both"/>
            </w:pPr>
            <w:r>
              <w:rPr>
                <w:rFonts w:ascii="Times New Roman" w:hAnsi="Times New Roman"/>
                <w:b/>
                <w:bCs/>
                <w:color w:val="000000"/>
                <w:sz w:val="15"/>
                <w:szCs w:val="20"/>
              </w:rPr>
              <w:t>14</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2DEF38DA" w14:textId="77777777" w:rsidR="000A3FB3" w:rsidRDefault="00000000" w:rsidP="00786156">
            <w:pPr>
              <w:spacing w:before="0" w:after="0"/>
              <w:jc w:val="both"/>
            </w:pPr>
            <w:r>
              <w:rPr>
                <w:rFonts w:ascii="Times New Roman" w:hAnsi="Times New Roman"/>
                <w:b/>
                <w:bCs/>
                <w:color w:val="000000"/>
                <w:sz w:val="15"/>
                <w:szCs w:val="20"/>
              </w:rPr>
              <w:t>54</w:t>
            </w:r>
          </w:p>
        </w:tc>
        <w:tc>
          <w:tcPr>
            <w:tcW w:w="1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4D64DF95" w14:textId="77777777" w:rsidR="000A3FB3" w:rsidRDefault="00000000" w:rsidP="00786156">
            <w:pPr>
              <w:spacing w:before="0" w:after="0"/>
              <w:jc w:val="both"/>
            </w:pPr>
            <w:r>
              <w:rPr>
                <w:rFonts w:ascii="Times New Roman" w:hAnsi="Times New Roman"/>
                <w:b/>
                <w:bCs/>
                <w:color w:val="000000"/>
                <w:sz w:val="15"/>
                <w:szCs w:val="20"/>
              </w:rPr>
              <w:t>80</w:t>
            </w:r>
          </w:p>
        </w:tc>
      </w:tr>
    </w:tbl>
    <w:p>
      <w:pPr>
        <w:spacing w:before="120" w:after="60"/>
      </w:pPr>
      <w:r>
        <w:rPr>
          <w:b/>
        </w:rPr>
        <w:t>Supplementary Table S8. Single-reviewer outcomes.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200"/>
        <w:gridCol w:w="900"/>
        <w:gridCol w:w="1500"/>
        <w:gridCol w:w="1500"/>
        <w:gridCol w:w="1300"/>
        <w:gridCol w:w="1600"/>
      </w:tblGrid>
      <w:tr w:rsidR="002F703B" w14:paraId="13B4BF84" w14:textId="77777777">
        <w:trPr>
          <w:cantSplit/>
          <w:tblHeader/>
          <w:tblHeader w:val="true"/>
        </w:trPr>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39FB50BD" w14:textId="77777777" w:rsidR="002F703B" w:rsidRDefault="00000000">
            <w:pPr>
              <w:spacing w:before="0" w:after="0"/>
              <w:jc w:val="both"/>
            </w:pPr>
            <w:r>
              <w:rPr>
                <w:rFonts w:ascii="Times New Roman" w:hAnsi="Times New Roman"/>
                <w:b/>
                <w:bCs/>
                <w:sz w:val="15"/>
                <w:szCs w:val="20"/>
              </w:rPr>
              <w:t>Question category</w:t>
            </w:r>
          </w:p>
        </w:tc>
        <w:tc>
          <w:tcPr>
            <w:tcW w:w="9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79552D6F" w14:textId="77777777" w:rsidR="002F703B" w:rsidRDefault="00000000">
            <w:pPr>
              <w:spacing w:before="0" w:after="0"/>
              <w:jc w:val="both"/>
            </w:pPr>
            <w:r>
              <w:rPr>
                <w:rFonts w:ascii="Times New Roman" w:hAnsi="Times New Roman"/>
                <w:b/>
                <w:bCs/>
                <w:sz w:val="15"/>
                <w:szCs w:val="20"/>
              </w:rPr>
              <w:t>N</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53BD062A" w14:textId="77777777" w:rsidR="002F703B" w:rsidRDefault="00000000">
            <w:pPr>
              <w:spacing w:before="0" w:after="0"/>
              <w:jc w:val="both"/>
            </w:pPr>
            <w:r>
              <w:rPr>
                <w:rFonts w:ascii="Times New Roman" w:hAnsi="Times New Roman"/>
                <w:b/>
                <w:bCs/>
                <w:sz w:val="15"/>
                <w:szCs w:val="20"/>
              </w:rPr>
              <w:t>Full</w:t>
            </w:r>
          </w:p>
        </w:tc>
        <w:tc>
          <w:tcPr>
            <w:tcW w:w="15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5A2696E" w14:textId="77777777" w:rsidR="002F703B" w:rsidRDefault="00000000">
            <w:pPr>
              <w:spacing w:before="0" w:after="0"/>
              <w:jc w:val="both"/>
            </w:pPr>
            <w:r>
              <w:rPr>
                <w:rFonts w:ascii="Times New Roman" w:hAnsi="Times New Roman"/>
                <w:b/>
                <w:bCs/>
                <w:sz w:val="15"/>
                <w:szCs w:val="20"/>
              </w:rPr>
              <w:t>Partial</w:t>
            </w:r>
          </w:p>
        </w:tc>
        <w:tc>
          <w:tcPr>
            <w:tcW w:w="13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12B35138" w14:textId="77777777" w:rsidR="002F703B" w:rsidRDefault="00000000">
            <w:pPr>
              <w:spacing w:before="0" w:after="0"/>
              <w:jc w:val="both"/>
            </w:pPr>
            <w:r>
              <w:rPr>
                <w:rFonts w:ascii="Times New Roman" w:hAnsi="Times New Roman"/>
                <w:b/>
                <w:bCs/>
                <w:sz w:val="15"/>
                <w:szCs w:val="20"/>
              </w:rPr>
              <w:t>None</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043F83ED" w14:textId="77777777" w:rsidR="002F703B" w:rsidRDefault="00000000">
            <w:pPr>
              <w:spacing w:before="0" w:after="0"/>
              <w:jc w:val="both"/>
            </w:pPr>
            <w:r>
              <w:rPr>
                <w:rFonts w:ascii="Times New Roman" w:hAnsi="Times New Roman"/>
                <w:b/>
                <w:bCs/>
                <w:sz w:val="15"/>
                <w:szCs w:val="20"/>
              </w:rPr>
              <w:t>Full or Partial</w:t>
            </w:r>
          </w:p>
        </w:tc>
      </w:tr>
      <w:tr w:rsidR="002F703B" w14:paraId="28B5B6EC" w14:textId="77777777">
        <w:trPr>
          <w:cantSplit/>
        </w:trPr>
        <w:tc>
          <w:tcPr>
            <w:tcW w:w="2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823E912" w14:textId="77777777" w:rsidR="002F703B" w:rsidRDefault="00000000">
            <w:pPr>
              <w:spacing w:before="0" w:after="0"/>
              <w:jc w:val="both"/>
            </w:pPr>
            <w:r>
              <w:rPr>
                <w:rFonts w:ascii="Times New Roman" w:hAnsi="Times New Roman"/>
                <w:sz w:val="15"/>
                <w:szCs w:val="20"/>
              </w:rPr>
              <w:t>Factual</w:t>
            </w:r>
          </w:p>
        </w:tc>
        <w:tc>
          <w:tcPr>
            <w:tcW w:w="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4B12145" w14:textId="77777777" w:rsidR="002F703B" w:rsidRDefault="00000000">
            <w:pPr>
              <w:spacing w:before="0" w:after="0"/>
              <w:jc w:val="both"/>
            </w:pPr>
            <w:r>
              <w:rPr>
                <w:rFonts w:ascii="Times New Roman" w:hAnsi="Times New Roman"/>
                <w:sz w:val="15"/>
                <w:szCs w:val="20"/>
              </w:rPr>
              <w:t>30</w:t>
            </w:r>
          </w:p>
        </w:tc>
        <w:tc>
          <w:tcPr>
            <w:tcW w:w="15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A5623B8" w14:textId="77777777" w:rsidR="002F703B" w:rsidRDefault="00000000">
            <w:pPr>
              <w:spacing w:before="0" w:after="0"/>
              <w:jc w:val="both"/>
            </w:pPr>
            <w:r>
              <w:rPr>
                <w:rFonts w:ascii="Times New Roman" w:hAnsi="Times New Roman"/>
                <w:sz w:val="15"/>
                <w:szCs w:val="20"/>
              </w:rPr>
              <w:t>18 (60.0%)</w:t>
            </w:r>
          </w:p>
        </w:tc>
        <w:tc>
          <w:tcPr>
            <w:tcW w:w="15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5A5008B" w14:textId="77777777" w:rsidR="002F703B" w:rsidRDefault="00000000">
            <w:pPr>
              <w:spacing w:before="0" w:after="0"/>
              <w:jc w:val="both"/>
            </w:pPr>
            <w:r>
              <w:rPr>
                <w:rFonts w:ascii="Times New Roman" w:hAnsi="Times New Roman"/>
                <w:sz w:val="15"/>
                <w:szCs w:val="20"/>
              </w:rPr>
              <w:t>9 (30.0%)</w:t>
            </w:r>
          </w:p>
        </w:tc>
        <w:tc>
          <w:tcPr>
            <w:tcW w:w="13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6129EE6" w14:textId="77777777" w:rsidR="002F703B" w:rsidRDefault="00000000">
            <w:pPr>
              <w:spacing w:before="0" w:after="0"/>
              <w:jc w:val="both"/>
            </w:pPr>
            <w:r>
              <w:rPr>
                <w:rFonts w:ascii="Times New Roman" w:hAnsi="Times New Roman"/>
                <w:sz w:val="15"/>
                <w:szCs w:val="20"/>
              </w:rPr>
              <w:t>3 (10.0%)</w:t>
            </w:r>
          </w:p>
        </w:tc>
        <w:tc>
          <w:tcPr>
            <w:tcW w:w="1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366C58E" w14:textId="77777777" w:rsidR="002F703B" w:rsidRDefault="00000000">
            <w:pPr>
              <w:spacing w:before="0" w:after="0"/>
              <w:jc w:val="both"/>
            </w:pPr>
            <w:r>
              <w:rPr>
                <w:rFonts w:ascii="Times New Roman" w:hAnsi="Times New Roman"/>
                <w:sz w:val="15"/>
                <w:szCs w:val="20"/>
              </w:rPr>
              <w:t>27 (90.0%)</w:t>
            </w:r>
          </w:p>
        </w:tc>
      </w:tr>
      <w:tr w:rsidR="002F703B" w14:paraId="0613FABD" w14:textId="77777777">
        <w:trPr>
          <w:cantSplit/>
        </w:trPr>
        <w:tc>
          <w:tcPr>
            <w:tcW w:w="2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E374982" w14:textId="77777777" w:rsidR="002F703B" w:rsidRDefault="00000000">
            <w:pPr>
              <w:spacing w:before="0" w:after="0"/>
              <w:jc w:val="both"/>
            </w:pPr>
            <w:r>
              <w:rPr>
                <w:rFonts w:ascii="Times New Roman" w:hAnsi="Times New Roman"/>
                <w:sz w:val="15"/>
                <w:szCs w:val="20"/>
              </w:rPr>
              <w:t>Comparative</w:t>
            </w:r>
          </w:p>
        </w:tc>
        <w:tc>
          <w:tcPr>
            <w:tcW w:w="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A0BEEE6" w14:textId="77777777" w:rsidR="002F703B" w:rsidRDefault="00000000">
            <w:pPr>
              <w:spacing w:before="0" w:after="0"/>
              <w:jc w:val="both"/>
            </w:pPr>
            <w:r>
              <w:rPr>
                <w:rFonts w:ascii="Times New Roman" w:hAnsi="Times New Roman"/>
                <w:sz w:val="15"/>
                <w:szCs w:val="20"/>
              </w:rPr>
              <w:t>25</w:t>
            </w:r>
          </w:p>
        </w:tc>
        <w:tc>
          <w:tcPr>
            <w:tcW w:w="15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6D8ABE6" w14:textId="77777777" w:rsidR="002F703B" w:rsidRDefault="00000000">
            <w:pPr>
              <w:spacing w:before="0" w:after="0"/>
              <w:jc w:val="both"/>
            </w:pPr>
            <w:r>
              <w:rPr>
                <w:rFonts w:ascii="Times New Roman" w:hAnsi="Times New Roman"/>
                <w:sz w:val="15"/>
                <w:szCs w:val="20"/>
              </w:rPr>
              <w:t>2 (8.0%)</w:t>
            </w:r>
          </w:p>
        </w:tc>
        <w:tc>
          <w:tcPr>
            <w:tcW w:w="15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1474ED3" w14:textId="77777777" w:rsidR="002F703B" w:rsidRDefault="00000000">
            <w:pPr>
              <w:spacing w:before="0" w:after="0"/>
              <w:jc w:val="both"/>
            </w:pPr>
            <w:r>
              <w:rPr>
                <w:rFonts w:ascii="Times New Roman" w:hAnsi="Times New Roman"/>
                <w:sz w:val="15"/>
                <w:szCs w:val="20"/>
              </w:rPr>
              <w:t>23 (92.0%)</w:t>
            </w:r>
          </w:p>
        </w:tc>
        <w:tc>
          <w:tcPr>
            <w:tcW w:w="13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7A7DE4D" w14:textId="77777777" w:rsidR="002F703B" w:rsidRDefault="00000000">
            <w:pPr>
              <w:spacing w:before="0" w:after="0"/>
              <w:jc w:val="both"/>
            </w:pPr>
            <w:r>
              <w:rPr>
                <w:rFonts w:ascii="Times New Roman" w:hAnsi="Times New Roman"/>
                <w:sz w:val="15"/>
                <w:szCs w:val="20"/>
              </w:rPr>
              <w:t>0 (0.0%)</w:t>
            </w:r>
          </w:p>
        </w:tc>
        <w:tc>
          <w:tcPr>
            <w:tcW w:w="1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E080E29" w14:textId="77777777" w:rsidR="002F703B" w:rsidRDefault="00000000">
            <w:pPr>
              <w:spacing w:before="0" w:after="0"/>
              <w:jc w:val="both"/>
            </w:pPr>
            <w:r>
              <w:rPr>
                <w:rFonts w:ascii="Times New Roman" w:hAnsi="Times New Roman"/>
                <w:sz w:val="15"/>
                <w:szCs w:val="20"/>
              </w:rPr>
              <w:t>25 (100.0%)</w:t>
            </w:r>
          </w:p>
        </w:tc>
      </w:tr>
      <w:tr w:rsidR="002F703B" w14:paraId="47BC80A9" w14:textId="77777777">
        <w:trPr>
          <w:cantSplit/>
        </w:trPr>
        <w:tc>
          <w:tcPr>
            <w:tcW w:w="22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786CED8" w14:textId="77777777" w:rsidR="002F703B" w:rsidRDefault="00000000">
            <w:pPr>
              <w:spacing w:before="0" w:after="0"/>
              <w:jc w:val="both"/>
            </w:pPr>
            <w:r>
              <w:rPr>
                <w:rFonts w:ascii="Times New Roman" w:hAnsi="Times New Roman"/>
                <w:sz w:val="15"/>
                <w:szCs w:val="20"/>
              </w:rPr>
              <w:t>Gap Detection</w:t>
            </w:r>
          </w:p>
        </w:tc>
        <w:tc>
          <w:tcPr>
            <w:tcW w:w="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9BA186D" w14:textId="77777777" w:rsidR="002F703B" w:rsidRDefault="00000000">
            <w:pPr>
              <w:spacing w:before="0" w:after="0"/>
              <w:jc w:val="both"/>
            </w:pPr>
            <w:r>
              <w:rPr>
                <w:rFonts w:ascii="Times New Roman" w:hAnsi="Times New Roman"/>
                <w:sz w:val="15"/>
                <w:szCs w:val="20"/>
              </w:rPr>
              <w:t>25</w:t>
            </w:r>
          </w:p>
        </w:tc>
        <w:tc>
          <w:tcPr>
            <w:tcW w:w="15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347CCEA" w14:textId="77777777" w:rsidR="002F703B" w:rsidRDefault="00000000">
            <w:pPr>
              <w:spacing w:before="0" w:after="0"/>
              <w:jc w:val="both"/>
            </w:pPr>
            <w:r>
              <w:rPr>
                <w:rFonts w:ascii="Times New Roman" w:hAnsi="Times New Roman"/>
                <w:sz w:val="15"/>
                <w:szCs w:val="20"/>
              </w:rPr>
              <w:t>1 (4.0%)</w:t>
            </w:r>
          </w:p>
        </w:tc>
        <w:tc>
          <w:tcPr>
            <w:tcW w:w="15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48CF324" w14:textId="77777777" w:rsidR="002F703B" w:rsidRDefault="00000000">
            <w:pPr>
              <w:spacing w:before="0" w:after="0"/>
              <w:jc w:val="both"/>
            </w:pPr>
            <w:r>
              <w:rPr>
                <w:rFonts w:ascii="Times New Roman" w:hAnsi="Times New Roman"/>
                <w:sz w:val="15"/>
                <w:szCs w:val="20"/>
              </w:rPr>
              <w:t>18 (72.0%)</w:t>
            </w:r>
          </w:p>
        </w:tc>
        <w:tc>
          <w:tcPr>
            <w:tcW w:w="13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E588684" w14:textId="77777777" w:rsidR="002F703B" w:rsidRDefault="00000000">
            <w:pPr>
              <w:spacing w:before="0" w:after="0"/>
              <w:jc w:val="both"/>
            </w:pPr>
            <w:r>
              <w:rPr>
                <w:rFonts w:ascii="Times New Roman" w:hAnsi="Times New Roman"/>
                <w:sz w:val="15"/>
                <w:szCs w:val="20"/>
              </w:rPr>
              <w:t>6 (24.0%)</w:t>
            </w:r>
          </w:p>
        </w:tc>
        <w:tc>
          <w:tcPr>
            <w:tcW w:w="16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52D5902" w14:textId="77777777" w:rsidR="002F703B" w:rsidRDefault="00000000">
            <w:pPr>
              <w:spacing w:before="0" w:after="0"/>
              <w:jc w:val="both"/>
            </w:pPr>
            <w:r>
              <w:rPr>
                <w:rFonts w:ascii="Times New Roman" w:hAnsi="Times New Roman"/>
                <w:sz w:val="15"/>
                <w:szCs w:val="20"/>
              </w:rPr>
              <w:t>19 (76.0%)</w:t>
            </w:r>
          </w:p>
        </w:tc>
      </w:tr>
      <w:tr w:rsidR="002F703B" w14:paraId="5BA4765E" w14:textId="77777777">
        <w:trPr>
          <w:cantSplit/>
        </w:trPr>
        <w:tc>
          <w:tcPr>
            <w:tcW w:w="22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5A0B28E" w14:textId="77777777" w:rsidR="002F703B" w:rsidRDefault="00000000">
            <w:pPr>
              <w:spacing w:before="0" w:after="0"/>
              <w:jc w:val="both"/>
            </w:pPr>
            <w:r>
              <w:rPr>
                <w:rFonts w:ascii="Times New Roman" w:hAnsi="Times New Roman"/>
                <w:sz w:val="15"/>
                <w:szCs w:val="20"/>
              </w:rPr>
              <w:t>Overall</w:t>
            </w:r>
          </w:p>
        </w:tc>
        <w:tc>
          <w:tcPr>
            <w:tcW w:w="9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20EEBF4A" w14:textId="77777777" w:rsidR="002F703B" w:rsidRDefault="00000000">
            <w:pPr>
              <w:spacing w:before="0" w:after="0"/>
              <w:jc w:val="both"/>
            </w:pPr>
            <w:r>
              <w:rPr>
                <w:rFonts w:ascii="Times New Roman" w:hAnsi="Times New Roman"/>
                <w:sz w:val="15"/>
                <w:szCs w:val="20"/>
              </w:rPr>
              <w:t>80</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022D3B39" w14:textId="77777777" w:rsidR="002F703B" w:rsidRDefault="00000000">
            <w:pPr>
              <w:spacing w:before="0" w:after="0"/>
              <w:jc w:val="both"/>
            </w:pPr>
            <w:r>
              <w:rPr>
                <w:rFonts w:ascii="Times New Roman" w:hAnsi="Times New Roman"/>
                <w:sz w:val="15"/>
                <w:szCs w:val="20"/>
              </w:rPr>
              <w:t>21 (26.3%)</w:t>
            </w:r>
          </w:p>
        </w:tc>
        <w:tc>
          <w:tcPr>
            <w:tcW w:w="15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1C45BC2C" w14:textId="77777777" w:rsidR="002F703B" w:rsidRDefault="00000000">
            <w:pPr>
              <w:spacing w:before="0" w:after="0"/>
              <w:jc w:val="both"/>
            </w:pPr>
            <w:r>
              <w:rPr>
                <w:rFonts w:ascii="Times New Roman" w:hAnsi="Times New Roman"/>
                <w:sz w:val="15"/>
                <w:szCs w:val="20"/>
              </w:rPr>
              <w:t>50 (62.5%)</w:t>
            </w:r>
          </w:p>
        </w:tc>
        <w:tc>
          <w:tcPr>
            <w:tcW w:w="13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3A509BE2" w14:textId="77777777" w:rsidR="002F703B" w:rsidRDefault="00000000">
            <w:pPr>
              <w:spacing w:before="0" w:after="0"/>
              <w:jc w:val="both"/>
            </w:pPr>
            <w:r>
              <w:rPr>
                <w:rFonts w:ascii="Times New Roman" w:hAnsi="Times New Roman"/>
                <w:sz w:val="15"/>
                <w:szCs w:val="20"/>
              </w:rPr>
              <w:t>9 (11.3%)</w:t>
            </w:r>
          </w:p>
        </w:tc>
        <w:tc>
          <w:tcPr>
            <w:tcW w:w="16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41790AE9" w14:textId="77777777" w:rsidR="002F703B" w:rsidRDefault="00000000">
            <w:pPr>
              <w:spacing w:before="0" w:after="0"/>
              <w:jc w:val="both"/>
            </w:pPr>
            <w:r>
              <w:rPr>
                <w:rFonts w:ascii="Times New Roman" w:hAnsi="Times New Roman"/>
                <w:sz w:val="15"/>
                <w:szCs w:val="20"/>
              </w:rPr>
              <w:t>71 (88.8%)</w:t>
            </w:r>
          </w:p>
        </w:tc>
      </w:tr>
    </w:tbl>
    <w:p>
      <w:r>
        <w:t>The resource remains author-prepared and non-adjudicated: 21 items were Full, 50 Partial and 9 None. Cohen's Kappa is not available because the author and reviewer did not independently assign the same categorical labels.</w:t>
      </w:r>
    </w:p>
    <w:p>
      <w:pPr>
        <w:pStyle w:val="Heading1"/>
      </w:pPr>
      <w:r>
        <w:t>S8. Claim-Rate Definitions, Bootstrap Design and Archived Aggregate Results</w:t>
      </w:r>
    </w:p>
    <w:p>
      <w:r>
        <w:t>GPT-4o-mini labelled atomic claims as Supported, Partial, Unsupported or Fabricated relative to author-prepared evidence packages. The pooled Unsupported/Fabricated rate is the total number of Unsupported plus Fabricated claims divided by total evaluable factual claims. Paired inference resampled question identifiers so all claims from an answer remained clustered.</w:t>
      </w:r>
    </w:p>
    <w:p>
      <w:pPr>
        <w:spacing w:before="120" w:after="60"/>
      </w:pPr>
      <w:r>
        <w:rPr>
          <w:b/>
        </w:rPr>
        <w:t>Supplementary Table S8a. Reported aggregate claim-label rates.</w:t>
      </w:r>
    </w:p>
    <w:tbl>
      <w:tblPr>
        <w:tblW w:type="auto" w:w="0"/>
        <w:jc w:val="center"/>
        <w:tblLook w:firstColumn="1" w:firstRow="1" w:lastColumn="0" w:lastRow="0" w:noHBand="0" w:noVBand="1" w:val="04A0"/>
      </w:tblPr>
      <w:tblGrid>
        <w:gridCol w:w="2220"/>
        <w:gridCol w:w="2220"/>
        <w:gridCol w:w="2220"/>
        <w:gridCol w:w="2220"/>
        <w:gridCol w:w="2220"/>
        <w:gridCol w:w="2220"/>
        <w:gridCol w:w="2220"/>
      </w:tblGrid>
      <w:tr>
        <w:trPr>
          <w:tblHeader w:val="true"/>
        </w:trPr>
        <w:tc>
          <w:tcPr>
            <w:tcW w:type="dxa" w:w="2220"/>
            <w:vAlign w:val="center"/>
          </w:tcPr>
          <w:p>
            <w:pPr>
              <w:spacing w:after="0" w:before="0"/>
            </w:pPr>
            <w:r>
              <w:rPr>
                <w:rFonts w:ascii="Times New Roman" w:hAnsi="Times New Roman"/>
                <w:sz w:val="14"/>
              </w:rPr>
              <w:t>Comparison</w:t>
            </w:r>
          </w:p>
        </w:tc>
        <w:tc>
          <w:tcPr>
            <w:tcW w:type="dxa" w:w="2220"/>
            <w:vAlign w:val="center"/>
          </w:tcPr>
          <w:p>
            <w:pPr>
              <w:spacing w:after="0" w:before="0"/>
            </w:pPr>
            <w:r>
              <w:rPr>
                <w:rFonts w:ascii="Times New Roman" w:hAnsi="Times New Roman"/>
                <w:sz w:val="14"/>
              </w:rPr>
              <w:t>Condition</w:t>
            </w:r>
          </w:p>
        </w:tc>
        <w:tc>
          <w:tcPr>
            <w:tcW w:type="dxa" w:w="2220"/>
            <w:vAlign w:val="center"/>
          </w:tcPr>
          <w:p>
            <w:pPr>
              <w:spacing w:after="0" w:before="0"/>
            </w:pPr>
            <w:r>
              <w:rPr>
                <w:rFonts w:ascii="Times New Roman" w:hAnsi="Times New Roman"/>
                <w:sz w:val="14"/>
              </w:rPr>
              <w:t>Judge-estimated Supported rate</w:t>
            </w:r>
          </w:p>
        </w:tc>
        <w:tc>
          <w:tcPr>
            <w:tcW w:type="dxa" w:w="2220"/>
            <w:vAlign w:val="center"/>
          </w:tcPr>
          <w:p>
            <w:pPr>
              <w:spacing w:after="0" w:before="0"/>
            </w:pPr>
            <w:r>
              <w:rPr>
                <w:rFonts w:ascii="Times New Roman" w:hAnsi="Times New Roman"/>
                <w:sz w:val="14"/>
              </w:rPr>
              <w:t>Judge-estimated Partial rate</w:t>
            </w:r>
          </w:p>
        </w:tc>
        <w:tc>
          <w:tcPr>
            <w:tcW w:type="dxa" w:w="2220"/>
            <w:vAlign w:val="center"/>
          </w:tcPr>
          <w:p>
            <w:pPr>
              <w:spacing w:after="0" w:before="0"/>
            </w:pPr>
            <w:r>
              <w:rPr>
                <w:rFonts w:ascii="Times New Roman" w:hAnsi="Times New Roman"/>
                <w:sz w:val="14"/>
              </w:rPr>
              <w:t>Judge-estimated Unsupported/Fabricated rate</w:t>
            </w:r>
          </w:p>
        </w:tc>
        <w:tc>
          <w:tcPr>
            <w:tcW w:type="dxa" w:w="2220"/>
            <w:vAlign w:val="center"/>
          </w:tcPr>
          <w:p>
            <w:pPr>
              <w:spacing w:after="0" w:before="0"/>
            </w:pPr>
            <w:r>
              <w:rPr>
                <w:rFonts w:ascii="Times New Roman" w:hAnsi="Times New Roman"/>
                <w:sz w:val="14"/>
              </w:rPr>
              <w:t>Raw claim rows included?</w:t>
            </w:r>
          </w:p>
        </w:tc>
        <w:tc>
          <w:tcPr>
            <w:tcW w:type="dxa" w:w="2220"/>
            <w:vAlign w:val="center"/>
          </w:tcPr>
          <w:p>
            <w:pPr>
              <w:spacing w:after="0" w:before="0"/>
            </w:pPr>
            <w:r>
              <w:rPr>
                <w:rFonts w:ascii="Times New Roman" w:hAnsi="Times New Roman"/>
                <w:sz w:val="14"/>
              </w:rPr>
              <w:t>Status</w:t>
            </w:r>
          </w:p>
        </w:tc>
      </w:tr>
      <w:tr>
        <w:tc>
          <w:tcPr>
            <w:tcW w:type="dxa" w:w="2220"/>
            <w:vAlign w:val="center"/>
          </w:tcPr>
          <w:p>
            <w:pPr>
              <w:spacing w:after="0" w:before="0"/>
            </w:pPr>
            <w:r>
              <w:rPr>
                <w:rFonts w:ascii="Times New Roman" w:hAnsi="Times New Roman"/>
                <w:sz w:val="14"/>
              </w:rPr>
              <w:t>GPT-4o no-RAG</w:t>
            </w:r>
          </w:p>
        </w:tc>
        <w:tc>
          <w:tcPr>
            <w:tcW w:type="dxa" w:w="2220"/>
            <w:vAlign w:val="center"/>
          </w:tcPr>
          <w:p>
            <w:pPr>
              <w:spacing w:after="0" w:before="0"/>
            </w:pPr>
            <w:r>
              <w:rPr>
                <w:rFonts w:ascii="Times New Roman" w:hAnsi="Times New Roman"/>
                <w:sz w:val="14"/>
              </w:rPr>
              <w:t>no_rag</w:t>
            </w:r>
          </w:p>
        </w:tc>
        <w:tc>
          <w:tcPr>
            <w:tcW w:type="dxa" w:w="2220"/>
            <w:vAlign w:val="center"/>
          </w:tcPr>
          <w:p>
            <w:pPr>
              <w:spacing w:after="0" w:before="0"/>
            </w:pPr>
            <w:r>
              <w:rPr>
                <w:rFonts w:ascii="Times New Roman" w:hAnsi="Times New Roman"/>
                <w:sz w:val="14"/>
              </w:rPr>
              <w:t>0.3523</w:t>
            </w:r>
          </w:p>
        </w:tc>
        <w:tc>
          <w:tcPr>
            <w:tcW w:type="dxa" w:w="2220"/>
            <w:vAlign w:val="center"/>
          </w:tcPr>
          <w:p>
            <w:pPr>
              <w:spacing w:after="0" w:before="0"/>
            </w:pPr>
            <w:r>
              <w:rPr>
                <w:rFonts w:ascii="Times New Roman" w:hAnsi="Times New Roman"/>
                <w:sz w:val="14"/>
              </w:rPr>
              <w:t>0.228</w:t>
            </w:r>
          </w:p>
        </w:tc>
        <w:tc>
          <w:tcPr>
            <w:tcW w:type="dxa" w:w="2220"/>
            <w:vAlign w:val="center"/>
          </w:tcPr>
          <w:p>
            <w:pPr>
              <w:spacing w:after="0" w:before="0"/>
            </w:pPr>
            <w:r>
              <w:rPr>
                <w:rFonts w:ascii="Times New Roman" w:hAnsi="Times New Roman"/>
                <w:sz w:val="14"/>
              </w:rPr>
              <w:t>0.4197</w:t>
            </w:r>
          </w:p>
        </w:tc>
        <w:tc>
          <w:tcPr>
            <w:tcW w:type="dxa" w:w="2220"/>
            <w:vAlign w:val="center"/>
          </w:tcPr>
          <w:p>
            <w:pPr>
              <w:spacing w:after="0" w:before="0"/>
            </w:pPr>
            <w:r>
              <w:rPr>
                <w:rFonts w:ascii="Times New Roman" w:hAnsi="Times New Roman"/>
                <w:sz w:val="14"/>
              </w:rPr>
              <w:t>No</w:t>
            </w:r>
          </w:p>
        </w:tc>
        <w:tc>
          <w:tcPr>
            <w:tcW w:type="dxa" w:w="2220"/>
            <w:vAlign w:val="center"/>
          </w:tcPr>
          <w:p>
            <w:pPr>
              <w:spacing w:after="0" w:before="0"/>
            </w:pPr>
            <w:r>
              <w:rPr>
                <w:rFonts w:ascii="Times New Roman" w:hAnsi="Times New Roman"/>
                <w:sz w:val="14"/>
              </w:rPr>
              <w:t>Reported aggregate only; raw claim-level file unavailable</w:t>
            </w:r>
          </w:p>
        </w:tc>
      </w:tr>
      <w:tr>
        <w:tc>
          <w:tcPr>
            <w:tcW w:type="dxa" w:w="2220"/>
            <w:vAlign w:val="center"/>
          </w:tcPr>
          <w:p>
            <w:pPr>
              <w:spacing w:after="0" w:before="0"/>
            </w:pPr>
            <w:r>
              <w:rPr>
                <w:rFonts w:ascii="Times New Roman" w:hAnsi="Times New Roman"/>
                <w:sz w:val="14"/>
              </w:rPr>
              <w:t>GPT-4o + RAG</w:t>
            </w:r>
          </w:p>
        </w:tc>
        <w:tc>
          <w:tcPr>
            <w:tcW w:type="dxa" w:w="2220"/>
            <w:vAlign w:val="center"/>
          </w:tcPr>
          <w:p>
            <w:pPr>
              <w:spacing w:after="0" w:before="0"/>
            </w:pPr>
            <w:r>
              <w:rPr>
                <w:rFonts w:ascii="Times New Roman" w:hAnsi="Times New Roman"/>
                <w:sz w:val="14"/>
              </w:rPr>
              <w:t>rag</w:t>
            </w:r>
          </w:p>
        </w:tc>
        <w:tc>
          <w:tcPr>
            <w:tcW w:type="dxa" w:w="2220"/>
            <w:vAlign w:val="center"/>
          </w:tcPr>
          <w:p>
            <w:pPr>
              <w:spacing w:after="0" w:before="0"/>
            </w:pPr>
            <w:r>
              <w:rPr>
                <w:rFonts w:ascii="Times New Roman" w:hAnsi="Times New Roman"/>
                <w:sz w:val="14"/>
              </w:rPr>
              <w:t>0.514</w:t>
            </w:r>
          </w:p>
        </w:tc>
        <w:tc>
          <w:tcPr>
            <w:tcW w:type="dxa" w:w="2220"/>
            <w:vAlign w:val="center"/>
          </w:tcPr>
          <w:p>
            <w:pPr>
              <w:spacing w:after="0" w:before="0"/>
            </w:pPr>
            <w:r>
              <w:rPr>
                <w:rFonts w:ascii="Times New Roman" w:hAnsi="Times New Roman"/>
                <w:sz w:val="14"/>
              </w:rPr>
              <w:t>0.3326</w:t>
            </w:r>
          </w:p>
        </w:tc>
        <w:tc>
          <w:tcPr>
            <w:tcW w:type="dxa" w:w="2220"/>
            <w:vAlign w:val="center"/>
          </w:tcPr>
          <w:p>
            <w:pPr>
              <w:spacing w:after="0" w:before="0"/>
            </w:pPr>
            <w:r>
              <w:rPr>
                <w:rFonts w:ascii="Times New Roman" w:hAnsi="Times New Roman"/>
                <w:sz w:val="14"/>
              </w:rPr>
              <w:t>0.1533</w:t>
            </w:r>
          </w:p>
        </w:tc>
        <w:tc>
          <w:tcPr>
            <w:tcW w:type="dxa" w:w="2220"/>
            <w:vAlign w:val="center"/>
          </w:tcPr>
          <w:p>
            <w:pPr>
              <w:spacing w:after="0" w:before="0"/>
            </w:pPr>
            <w:r>
              <w:rPr>
                <w:rFonts w:ascii="Times New Roman" w:hAnsi="Times New Roman"/>
                <w:sz w:val="14"/>
              </w:rPr>
              <w:t>No</w:t>
            </w:r>
          </w:p>
        </w:tc>
        <w:tc>
          <w:tcPr>
            <w:tcW w:type="dxa" w:w="2220"/>
            <w:vAlign w:val="center"/>
          </w:tcPr>
          <w:p>
            <w:pPr>
              <w:spacing w:after="0" w:before="0"/>
            </w:pPr>
            <w:r>
              <w:rPr>
                <w:rFonts w:ascii="Times New Roman" w:hAnsi="Times New Roman"/>
                <w:sz w:val="14"/>
              </w:rPr>
              <w:t>Reported aggregate only; raw claim-level file unavailable</w:t>
            </w:r>
          </w:p>
        </w:tc>
      </w:tr>
      <w:tr>
        <w:tc>
          <w:tcPr>
            <w:tcW w:type="dxa" w:w="2220"/>
            <w:vAlign w:val="center"/>
          </w:tcPr>
          <w:p>
            <w:pPr>
              <w:spacing w:after="0" w:before="0"/>
            </w:pPr>
            <w:r>
              <w:rPr>
                <w:rFonts w:ascii="Times New Roman" w:hAnsi="Times New Roman"/>
                <w:sz w:val="14"/>
              </w:rPr>
              <w:t>LLaMA-3.1-8B + RAG</w:t>
            </w:r>
          </w:p>
        </w:tc>
        <w:tc>
          <w:tcPr>
            <w:tcW w:type="dxa" w:w="2220"/>
            <w:vAlign w:val="center"/>
          </w:tcPr>
          <w:p>
            <w:pPr>
              <w:spacing w:after="0" w:before="0"/>
            </w:pPr>
            <w:r>
              <w:rPr>
                <w:rFonts w:ascii="Times New Roman" w:hAnsi="Times New Roman"/>
                <w:sz w:val="14"/>
              </w:rPr>
              <w:t>llama_rag</w:t>
            </w:r>
          </w:p>
        </w:tc>
        <w:tc>
          <w:tcPr>
            <w:tcW w:type="dxa" w:w="2220"/>
            <w:vAlign w:val="center"/>
          </w:tcPr>
          <w:p>
            <w:pPr>
              <w:spacing w:after="0" w:before="0"/>
            </w:pPr>
            <w:r>
              <w:rPr>
                <w:rFonts w:ascii="Times New Roman" w:hAnsi="Times New Roman"/>
                <w:sz w:val="14"/>
              </w:rPr>
              <w:t>0.4085</w:t>
            </w:r>
          </w:p>
        </w:tc>
        <w:tc>
          <w:tcPr>
            <w:tcW w:type="dxa" w:w="2220"/>
            <w:vAlign w:val="center"/>
          </w:tcPr>
          <w:p>
            <w:pPr>
              <w:spacing w:after="0" w:before="0"/>
            </w:pPr>
            <w:r>
              <w:rPr>
                <w:rFonts w:ascii="Times New Roman" w:hAnsi="Times New Roman"/>
                <w:sz w:val="14"/>
              </w:rPr>
            </w:r>
          </w:p>
        </w:tc>
        <w:tc>
          <w:tcPr>
            <w:tcW w:type="dxa" w:w="2220"/>
            <w:vAlign w:val="center"/>
          </w:tcPr>
          <w:p>
            <w:pPr>
              <w:spacing w:after="0" w:before="0"/>
            </w:pPr>
            <w:r>
              <w:rPr>
                <w:rFonts w:ascii="Times New Roman" w:hAnsi="Times New Roman"/>
                <w:sz w:val="14"/>
              </w:rPr>
              <w:t>0.221</w:t>
            </w:r>
          </w:p>
        </w:tc>
        <w:tc>
          <w:tcPr>
            <w:tcW w:type="dxa" w:w="2220"/>
            <w:vAlign w:val="center"/>
          </w:tcPr>
          <w:p>
            <w:pPr>
              <w:spacing w:after="0" w:before="0"/>
            </w:pPr>
            <w:r>
              <w:rPr>
                <w:rFonts w:ascii="Times New Roman" w:hAnsi="Times New Roman"/>
                <w:sz w:val="14"/>
              </w:rPr>
              <w:t>No</w:t>
            </w:r>
          </w:p>
        </w:tc>
        <w:tc>
          <w:tcPr>
            <w:tcW w:type="dxa" w:w="2220"/>
            <w:vAlign w:val="center"/>
          </w:tcPr>
          <w:p>
            <w:pPr>
              <w:spacing w:after="0" w:before="0"/>
            </w:pPr>
            <w:r>
              <w:rPr>
                <w:rFonts w:ascii="Times New Roman" w:hAnsi="Times New Roman"/>
                <w:sz w:val="14"/>
              </w:rPr>
              <w:t>Reported aggregate only; raw claim-level file unavailable</w:t>
            </w:r>
          </w:p>
        </w:tc>
      </w:tr>
    </w:tbl>
    <w:p>
      <w:pPr>
        <w:spacing w:before="120" w:after="60"/>
      </w:pPr>
      <w:r>
        <w:rPr>
          <w:b/>
        </w:rPr>
        <w:t>Supplementary Table S8b. Reported paired no-RAG/RAG results.</w:t>
      </w:r>
    </w:p>
    <w:tbl>
      <w:tblPr>
        <w:tblW w:type="auto" w:w="0"/>
        <w:jc w:val="center"/>
        <w:tblLook w:firstColumn="1" w:firstRow="1" w:lastColumn="0" w:lastRow="0" w:noHBand="0" w:noVBand="1" w:val="04A0"/>
      </w:tblPr>
      <w:tblGrid>
        <w:gridCol w:w="2590"/>
        <w:gridCol w:w="2590"/>
        <w:gridCol w:w="2590"/>
        <w:gridCol w:w="2590"/>
        <w:gridCol w:w="2590"/>
        <w:gridCol w:w="2590"/>
      </w:tblGrid>
      <w:tr>
        <w:trPr>
          <w:tblHeader w:val="true"/>
        </w:trPr>
        <w:tc>
          <w:tcPr>
            <w:tcW w:type="dxa" w:w="2590"/>
            <w:vAlign w:val="center"/>
          </w:tcPr>
          <w:p>
            <w:pPr>
              <w:spacing w:after="0" w:before="0"/>
            </w:pPr>
            <w:r>
              <w:rPr>
                <w:rFonts w:ascii="Times New Roman" w:hAnsi="Times New Roman"/>
                <w:sz w:val="14"/>
              </w:rPr>
              <w:t>Metric</w:t>
            </w:r>
          </w:p>
        </w:tc>
        <w:tc>
          <w:tcPr>
            <w:tcW w:type="dxa" w:w="2590"/>
            <w:vAlign w:val="center"/>
          </w:tcPr>
          <w:p>
            <w:pPr>
              <w:spacing w:after="0" w:before="0"/>
            </w:pPr>
            <w:r>
              <w:rPr>
                <w:rFonts w:ascii="Times New Roman" w:hAnsi="Times New Roman"/>
                <w:sz w:val="14"/>
              </w:rPr>
              <w:t>No RAG</w:t>
            </w:r>
          </w:p>
        </w:tc>
        <w:tc>
          <w:tcPr>
            <w:tcW w:type="dxa" w:w="2590"/>
            <w:vAlign w:val="center"/>
          </w:tcPr>
          <w:p>
            <w:pPr>
              <w:spacing w:after="0" w:before="0"/>
            </w:pPr>
            <w:r>
              <w:rPr>
                <w:rFonts w:ascii="Times New Roman" w:hAnsi="Times New Roman"/>
                <w:sz w:val="14"/>
              </w:rPr>
              <w:t>RAG</w:t>
            </w:r>
          </w:p>
        </w:tc>
        <w:tc>
          <w:tcPr>
            <w:tcW w:type="dxa" w:w="2590"/>
            <w:vAlign w:val="center"/>
          </w:tcPr>
          <w:p>
            <w:pPr>
              <w:spacing w:after="0" w:before="0"/>
            </w:pPr>
            <w:r>
              <w:rPr>
                <w:rFonts w:ascii="Times New Roman" w:hAnsi="Times New Roman"/>
                <w:sz w:val="14"/>
              </w:rPr>
              <w:t>RAG minus No RAG</w:t>
            </w:r>
          </w:p>
        </w:tc>
        <w:tc>
          <w:tcPr>
            <w:tcW w:type="dxa" w:w="2590"/>
            <w:vAlign w:val="center"/>
          </w:tcPr>
          <w:p>
            <w:pPr>
              <w:spacing w:after="0" w:before="0"/>
            </w:pPr>
            <w:r>
              <w:rPr>
                <w:rFonts w:ascii="Times New Roman" w:hAnsi="Times New Roman"/>
                <w:sz w:val="14"/>
              </w:rPr>
              <w:t>95% CI</w:t>
            </w:r>
          </w:p>
        </w:tc>
        <w:tc>
          <w:tcPr>
            <w:tcW w:type="dxa" w:w="2590"/>
            <w:vAlign w:val="center"/>
          </w:tcPr>
          <w:p>
            <w:pPr>
              <w:spacing w:after="0" w:before="0"/>
            </w:pPr>
            <w:r>
              <w:rPr>
                <w:rFonts w:ascii="Times New Roman" w:hAnsi="Times New Roman"/>
                <w:sz w:val="14"/>
              </w:rPr>
              <w:t>p-value</w:t>
            </w:r>
          </w:p>
        </w:tc>
      </w:tr>
      <w:tr>
        <w:tc>
          <w:tcPr>
            <w:tcW w:type="dxa" w:w="2590"/>
            <w:vAlign w:val="center"/>
          </w:tcPr>
          <w:p>
            <w:pPr>
              <w:spacing w:after="0" w:before="0"/>
            </w:pPr>
            <w:r>
              <w:rPr>
                <w:rFonts w:ascii="Times New Roman" w:hAnsi="Times New Roman"/>
                <w:sz w:val="14"/>
              </w:rPr>
              <w:t>Judge-estimated Supported-claim rate</w:t>
            </w:r>
          </w:p>
        </w:tc>
        <w:tc>
          <w:tcPr>
            <w:tcW w:type="dxa" w:w="2590"/>
            <w:vAlign w:val="center"/>
          </w:tcPr>
          <w:p>
            <w:pPr>
              <w:spacing w:after="0" w:before="0"/>
            </w:pPr>
            <w:r>
              <w:rPr>
                <w:rFonts w:ascii="Times New Roman" w:hAnsi="Times New Roman"/>
                <w:sz w:val="14"/>
              </w:rPr>
              <w:t>0.3523</w:t>
            </w:r>
          </w:p>
        </w:tc>
        <w:tc>
          <w:tcPr>
            <w:tcW w:type="dxa" w:w="2590"/>
            <w:vAlign w:val="center"/>
          </w:tcPr>
          <w:p>
            <w:pPr>
              <w:spacing w:after="0" w:before="0"/>
            </w:pPr>
            <w:r>
              <w:rPr>
                <w:rFonts w:ascii="Times New Roman" w:hAnsi="Times New Roman"/>
                <w:sz w:val="14"/>
              </w:rPr>
              <w:t>0.514</w:t>
            </w:r>
          </w:p>
        </w:tc>
        <w:tc>
          <w:tcPr>
            <w:tcW w:type="dxa" w:w="2590"/>
            <w:vAlign w:val="center"/>
          </w:tcPr>
          <w:p>
            <w:pPr>
              <w:spacing w:after="0" w:before="0"/>
            </w:pPr>
            <w:r>
              <w:rPr>
                <w:rFonts w:ascii="Times New Roman" w:hAnsi="Times New Roman"/>
                <w:sz w:val="14"/>
              </w:rPr>
              <w:t>0.1617</w:t>
            </w:r>
          </w:p>
        </w:tc>
        <w:tc>
          <w:tcPr>
            <w:tcW w:type="dxa" w:w="2590"/>
            <w:vAlign w:val="center"/>
          </w:tcPr>
          <w:p>
            <w:pPr>
              <w:spacing w:after="0" w:before="0"/>
            </w:pPr>
            <w:r>
              <w:rPr>
                <w:rFonts w:ascii="Times New Roman" w:hAnsi="Times New Roman"/>
                <w:sz w:val="14"/>
              </w:rPr>
              <w:t>[0.085, 0.241]</w:t>
            </w:r>
          </w:p>
        </w:tc>
        <w:tc>
          <w:tcPr>
            <w:tcW w:type="dxa" w:w="2590"/>
            <w:vAlign w:val="center"/>
          </w:tcPr>
          <w:p>
            <w:pPr>
              <w:spacing w:after="0" w:before="0"/>
            </w:pPr>
            <w:r>
              <w:rPr>
                <w:rFonts w:ascii="Times New Roman" w:hAnsi="Times New Roman"/>
                <w:sz w:val="14"/>
              </w:rPr>
              <w:t>&lt;0.001</w:t>
            </w:r>
          </w:p>
        </w:tc>
      </w:tr>
      <w:tr>
        <w:tc>
          <w:tcPr>
            <w:tcW w:type="dxa" w:w="2590"/>
            <w:vAlign w:val="center"/>
          </w:tcPr>
          <w:p>
            <w:pPr>
              <w:spacing w:after="0" w:before="0"/>
            </w:pPr>
            <w:r>
              <w:rPr>
                <w:rFonts w:ascii="Times New Roman" w:hAnsi="Times New Roman"/>
                <w:sz w:val="14"/>
              </w:rPr>
              <w:t>Judge-estimated Unsupported/Fabricated claim rate</w:t>
            </w:r>
          </w:p>
        </w:tc>
        <w:tc>
          <w:tcPr>
            <w:tcW w:type="dxa" w:w="2590"/>
            <w:vAlign w:val="center"/>
          </w:tcPr>
          <w:p>
            <w:pPr>
              <w:spacing w:after="0" w:before="0"/>
            </w:pPr>
            <w:r>
              <w:rPr>
                <w:rFonts w:ascii="Times New Roman" w:hAnsi="Times New Roman"/>
                <w:sz w:val="14"/>
              </w:rPr>
              <w:t>0.4197</w:t>
            </w:r>
          </w:p>
        </w:tc>
        <w:tc>
          <w:tcPr>
            <w:tcW w:type="dxa" w:w="2590"/>
            <w:vAlign w:val="center"/>
          </w:tcPr>
          <w:p>
            <w:pPr>
              <w:spacing w:after="0" w:before="0"/>
            </w:pPr>
            <w:r>
              <w:rPr>
                <w:rFonts w:ascii="Times New Roman" w:hAnsi="Times New Roman"/>
                <w:sz w:val="14"/>
              </w:rPr>
              <w:t>0.1533</w:t>
            </w:r>
          </w:p>
        </w:tc>
        <w:tc>
          <w:tcPr>
            <w:tcW w:type="dxa" w:w="2590"/>
            <w:vAlign w:val="center"/>
          </w:tcPr>
          <w:p>
            <w:pPr>
              <w:spacing w:after="0" w:before="0"/>
            </w:pPr>
            <w:r>
              <w:rPr>
                <w:rFonts w:ascii="Times New Roman" w:hAnsi="Times New Roman"/>
                <w:sz w:val="14"/>
              </w:rPr>
              <w:t>-0.2664</w:t>
            </w:r>
          </w:p>
        </w:tc>
        <w:tc>
          <w:tcPr>
            <w:tcW w:type="dxa" w:w="2590"/>
            <w:vAlign w:val="center"/>
          </w:tcPr>
          <w:p>
            <w:pPr>
              <w:spacing w:after="0" w:before="0"/>
            </w:pPr>
            <w:r>
              <w:rPr>
                <w:rFonts w:ascii="Times New Roman" w:hAnsi="Times New Roman"/>
                <w:sz w:val="14"/>
              </w:rPr>
              <w:t>[-0.344, -0.187]</w:t>
            </w:r>
          </w:p>
        </w:tc>
        <w:tc>
          <w:tcPr>
            <w:tcW w:type="dxa" w:w="2590"/>
            <w:vAlign w:val="center"/>
          </w:tcPr>
          <w:p>
            <w:pPr>
              <w:spacing w:after="0" w:before="0"/>
            </w:pPr>
            <w:r>
              <w:rPr>
                <w:rFonts w:ascii="Times New Roman" w:hAnsi="Times New Roman"/>
                <w:sz w:val="14"/>
              </w:rPr>
              <w:t>&lt;0.001</w:t>
            </w:r>
          </w:p>
        </w:tc>
      </w:tr>
      <w:tr>
        <w:tc>
          <w:tcPr>
            <w:tcW w:type="dxa" w:w="2590"/>
            <w:vAlign w:val="center"/>
          </w:tcPr>
          <w:p>
            <w:pPr>
              <w:spacing w:after="0" w:before="0"/>
            </w:pPr>
            <w:r>
              <w:rPr>
                <w:rFonts w:ascii="Times New Roman" w:hAnsi="Times New Roman"/>
                <w:sz w:val="14"/>
              </w:rPr>
              <w:t>Judge-estimated Partial-claim rate</w:t>
            </w:r>
          </w:p>
        </w:tc>
        <w:tc>
          <w:tcPr>
            <w:tcW w:type="dxa" w:w="2590"/>
            <w:vAlign w:val="center"/>
          </w:tcPr>
          <w:p>
            <w:pPr>
              <w:spacing w:after="0" w:before="0"/>
            </w:pPr>
            <w:r>
              <w:rPr>
                <w:rFonts w:ascii="Times New Roman" w:hAnsi="Times New Roman"/>
                <w:sz w:val="14"/>
              </w:rPr>
              <w:t>0.228</w:t>
            </w:r>
          </w:p>
        </w:tc>
        <w:tc>
          <w:tcPr>
            <w:tcW w:type="dxa" w:w="2590"/>
            <w:vAlign w:val="center"/>
          </w:tcPr>
          <w:p>
            <w:pPr>
              <w:spacing w:after="0" w:before="0"/>
            </w:pPr>
            <w:r>
              <w:rPr>
                <w:rFonts w:ascii="Times New Roman" w:hAnsi="Times New Roman"/>
                <w:sz w:val="14"/>
              </w:rPr>
              <w:t>0.3326</w:t>
            </w:r>
          </w:p>
        </w:tc>
        <w:tc>
          <w:tcPr>
            <w:tcW w:type="dxa" w:w="2590"/>
            <w:vAlign w:val="center"/>
          </w:tcPr>
          <w:p>
            <w:pPr>
              <w:spacing w:after="0" w:before="0"/>
            </w:pPr>
            <w:r>
              <w:rPr>
                <w:rFonts w:ascii="Times New Roman" w:hAnsi="Times New Roman"/>
                <w:sz w:val="14"/>
              </w:rPr>
              <w:t>0.1046</w:t>
            </w:r>
          </w:p>
        </w:tc>
        <w:tc>
          <w:tcPr>
            <w:tcW w:type="dxa" w:w="2590"/>
            <w:vAlign w:val="center"/>
          </w:tcPr>
          <w:p>
            <w:pPr>
              <w:spacing w:after="0" w:before="0"/>
            </w:pPr>
            <w:r>
              <w:rPr>
                <w:rFonts w:ascii="Times New Roman" w:hAnsi="Times New Roman"/>
                <w:sz w:val="14"/>
              </w:rPr>
              <w:t>[0.050, 0.157]</w:t>
            </w:r>
          </w:p>
        </w:tc>
        <w:tc>
          <w:tcPr>
            <w:tcW w:type="dxa" w:w="2590"/>
            <w:vAlign w:val="center"/>
          </w:tcPr>
          <w:p>
            <w:pPr>
              <w:spacing w:after="0" w:before="0"/>
            </w:pPr>
            <w:r>
              <w:rPr>
                <w:rFonts w:ascii="Times New Roman" w:hAnsi="Times New Roman"/>
                <w:sz w:val="14"/>
              </w:rPr>
              <w:t>&lt;0.001</w:t>
            </w:r>
          </w:p>
        </w:tc>
      </w:tr>
      <w:tr>
        <w:tc>
          <w:tcPr>
            <w:tcW w:type="dxa" w:w="2590"/>
            <w:vAlign w:val="center"/>
          </w:tcPr>
          <w:p>
            <w:pPr>
              <w:spacing w:after="0" w:before="0"/>
            </w:pPr>
            <w:r>
              <w:rPr>
                <w:rFonts w:ascii="Times New Roman" w:hAnsi="Times New Roman"/>
                <w:sz w:val="14"/>
              </w:rPr>
              <w:t>ROUGE-1 F1</w:t>
            </w:r>
          </w:p>
        </w:tc>
        <w:tc>
          <w:tcPr>
            <w:tcW w:type="dxa" w:w="2590"/>
            <w:vAlign w:val="center"/>
          </w:tcPr>
          <w:p>
            <w:pPr>
              <w:spacing w:after="0" w:before="0"/>
            </w:pPr>
            <w:r>
              <w:rPr>
                <w:rFonts w:ascii="Times New Roman" w:hAnsi="Times New Roman"/>
                <w:sz w:val="14"/>
              </w:rPr>
              <w:t>0.3129</w:t>
            </w:r>
          </w:p>
        </w:tc>
        <w:tc>
          <w:tcPr>
            <w:tcW w:type="dxa" w:w="2590"/>
            <w:vAlign w:val="center"/>
          </w:tcPr>
          <w:p>
            <w:pPr>
              <w:spacing w:after="0" w:before="0"/>
            </w:pPr>
            <w:r>
              <w:rPr>
                <w:rFonts w:ascii="Times New Roman" w:hAnsi="Times New Roman"/>
                <w:sz w:val="14"/>
              </w:rPr>
              <w:t>0.2821</w:t>
            </w:r>
          </w:p>
        </w:tc>
        <w:tc>
          <w:tcPr>
            <w:tcW w:type="dxa" w:w="2590"/>
            <w:vAlign w:val="center"/>
          </w:tcPr>
          <w:p>
            <w:pPr>
              <w:spacing w:after="0" w:before="0"/>
            </w:pPr>
            <w:r>
              <w:rPr>
                <w:rFonts w:ascii="Times New Roman" w:hAnsi="Times New Roman"/>
                <w:sz w:val="14"/>
              </w:rPr>
              <w:t>-0.0308</w:t>
            </w:r>
          </w:p>
        </w:tc>
        <w:tc>
          <w:tcPr>
            <w:tcW w:type="dxa" w:w="2590"/>
            <w:vAlign w:val="center"/>
          </w:tcPr>
          <w:p>
            <w:pPr>
              <w:spacing w:after="0" w:before="0"/>
            </w:pPr>
            <w:r>
              <w:rPr>
                <w:rFonts w:ascii="Times New Roman" w:hAnsi="Times New Roman"/>
                <w:sz w:val="14"/>
              </w:rPr>
              <w:t>[-0.053, -0.010]</w:t>
            </w:r>
          </w:p>
        </w:tc>
        <w:tc>
          <w:tcPr>
            <w:tcW w:type="dxa" w:w="2590"/>
            <w:vAlign w:val="center"/>
          </w:tcPr>
          <w:p>
            <w:pPr>
              <w:spacing w:after="0" w:before="0"/>
            </w:pPr>
            <w:r>
              <w:rPr>
                <w:rFonts w:ascii="Times New Roman" w:hAnsi="Times New Roman"/>
                <w:sz w:val="14"/>
              </w:rPr>
              <w:t>0.005</w:t>
            </w:r>
          </w:p>
        </w:tc>
      </w:tr>
      <w:tr>
        <w:tc>
          <w:tcPr>
            <w:tcW w:type="dxa" w:w="2590"/>
            <w:vAlign w:val="center"/>
          </w:tcPr>
          <w:p>
            <w:pPr>
              <w:spacing w:after="0" w:before="0"/>
            </w:pPr>
            <w:r>
              <w:rPr>
                <w:rFonts w:ascii="Times New Roman" w:hAnsi="Times New Roman"/>
                <w:sz w:val="14"/>
              </w:rPr>
              <w:t>ROUGE-2 F1</w:t>
            </w:r>
          </w:p>
        </w:tc>
        <w:tc>
          <w:tcPr>
            <w:tcW w:type="dxa" w:w="2590"/>
            <w:vAlign w:val="center"/>
          </w:tcPr>
          <w:p>
            <w:pPr>
              <w:spacing w:after="0" w:before="0"/>
            </w:pPr>
            <w:r>
              <w:rPr>
                <w:rFonts w:ascii="Times New Roman" w:hAnsi="Times New Roman"/>
                <w:sz w:val="14"/>
              </w:rPr>
              <w:t>0.128</w:t>
            </w:r>
          </w:p>
        </w:tc>
        <w:tc>
          <w:tcPr>
            <w:tcW w:type="dxa" w:w="2590"/>
            <w:vAlign w:val="center"/>
          </w:tcPr>
          <w:p>
            <w:pPr>
              <w:spacing w:after="0" w:before="0"/>
            </w:pPr>
            <w:r>
              <w:rPr>
                <w:rFonts w:ascii="Times New Roman" w:hAnsi="Times New Roman"/>
                <w:sz w:val="14"/>
              </w:rPr>
              <w:t>0.109</w:t>
            </w:r>
          </w:p>
        </w:tc>
        <w:tc>
          <w:tcPr>
            <w:tcW w:type="dxa" w:w="2590"/>
            <w:vAlign w:val="center"/>
          </w:tcPr>
          <w:p>
            <w:pPr>
              <w:spacing w:after="0" w:before="0"/>
            </w:pPr>
            <w:r>
              <w:rPr>
                <w:rFonts w:ascii="Times New Roman" w:hAnsi="Times New Roman"/>
                <w:sz w:val="14"/>
              </w:rPr>
              <w:t>-0.019</w:t>
            </w:r>
          </w:p>
        </w:tc>
        <w:tc>
          <w:tcPr>
            <w:tcW w:type="dxa" w:w="2590"/>
            <w:vAlign w:val="center"/>
          </w:tcPr>
          <w:p>
            <w:pPr>
              <w:spacing w:after="0" w:before="0"/>
            </w:pPr>
            <w:r>
              <w:rPr>
                <w:rFonts w:ascii="Times New Roman" w:hAnsi="Times New Roman"/>
                <w:sz w:val="14"/>
              </w:rPr>
              <w:t>[-0.034, -0.005]</w:t>
            </w:r>
          </w:p>
        </w:tc>
        <w:tc>
          <w:tcPr>
            <w:tcW w:type="dxa" w:w="2590"/>
            <w:vAlign w:val="center"/>
          </w:tcPr>
          <w:p>
            <w:pPr>
              <w:spacing w:after="0" w:before="0"/>
            </w:pPr>
            <w:r>
              <w:rPr>
                <w:rFonts w:ascii="Times New Roman" w:hAnsi="Times New Roman"/>
                <w:sz w:val="14"/>
              </w:rPr>
              <w:t>0.011</w:t>
            </w:r>
          </w:p>
        </w:tc>
      </w:tr>
      <w:tr>
        <w:tc>
          <w:tcPr>
            <w:tcW w:type="dxa" w:w="2590"/>
            <w:vAlign w:val="center"/>
          </w:tcPr>
          <w:p>
            <w:pPr>
              <w:spacing w:after="0" w:before="0"/>
            </w:pPr>
            <w:r>
              <w:rPr>
                <w:rFonts w:ascii="Times New Roman" w:hAnsi="Times New Roman"/>
                <w:sz w:val="14"/>
              </w:rPr>
              <w:t>ROUGE-L F1</w:t>
            </w:r>
          </w:p>
        </w:tc>
        <w:tc>
          <w:tcPr>
            <w:tcW w:type="dxa" w:w="2590"/>
            <w:vAlign w:val="center"/>
          </w:tcPr>
          <w:p>
            <w:pPr>
              <w:spacing w:after="0" w:before="0"/>
            </w:pPr>
            <w:r>
              <w:rPr>
                <w:rFonts w:ascii="Times New Roman" w:hAnsi="Times New Roman"/>
                <w:sz w:val="14"/>
              </w:rPr>
              <w:t>0.2201</w:t>
            </w:r>
          </w:p>
        </w:tc>
        <w:tc>
          <w:tcPr>
            <w:tcW w:type="dxa" w:w="2590"/>
            <w:vAlign w:val="center"/>
          </w:tcPr>
          <w:p>
            <w:pPr>
              <w:spacing w:after="0" w:before="0"/>
            </w:pPr>
            <w:r>
              <w:rPr>
                <w:rFonts w:ascii="Times New Roman" w:hAnsi="Times New Roman"/>
                <w:sz w:val="14"/>
              </w:rPr>
              <w:t>0.1875</w:t>
            </w:r>
          </w:p>
        </w:tc>
        <w:tc>
          <w:tcPr>
            <w:tcW w:type="dxa" w:w="2590"/>
            <w:vAlign w:val="center"/>
          </w:tcPr>
          <w:p>
            <w:pPr>
              <w:spacing w:after="0" w:before="0"/>
            </w:pPr>
            <w:r>
              <w:rPr>
                <w:rFonts w:ascii="Times New Roman" w:hAnsi="Times New Roman"/>
                <w:sz w:val="14"/>
              </w:rPr>
              <w:t>-0.0326</w:t>
            </w:r>
          </w:p>
        </w:tc>
        <w:tc>
          <w:tcPr>
            <w:tcW w:type="dxa" w:w="2590"/>
            <w:vAlign w:val="center"/>
          </w:tcPr>
          <w:p>
            <w:pPr>
              <w:spacing w:after="0" w:before="0"/>
            </w:pPr>
            <w:r>
              <w:rPr>
                <w:rFonts w:ascii="Times New Roman" w:hAnsi="Times New Roman"/>
                <w:sz w:val="14"/>
              </w:rPr>
              <w:t>[-0.051, -0.015]</w:t>
            </w:r>
          </w:p>
        </w:tc>
        <w:tc>
          <w:tcPr>
            <w:tcW w:type="dxa" w:w="2590"/>
            <w:vAlign w:val="center"/>
          </w:tcPr>
          <w:p>
            <w:pPr>
              <w:spacing w:after="0" w:before="0"/>
            </w:pPr>
            <w:r>
              <w:rPr>
                <w:rFonts w:ascii="Times New Roman" w:hAnsi="Times New Roman"/>
                <w:sz w:val="14"/>
              </w:rPr>
              <w:t>&lt;0.001</w:t>
            </w:r>
          </w:p>
        </w:tc>
      </w:tr>
      <w:tr>
        <w:tc>
          <w:tcPr>
            <w:tcW w:type="dxa" w:w="2590"/>
            <w:vAlign w:val="center"/>
          </w:tcPr>
          <w:p>
            <w:pPr>
              <w:spacing w:after="0" w:before="0"/>
            </w:pPr>
            <w:r>
              <w:rPr>
                <w:rFonts w:ascii="Times New Roman" w:hAnsi="Times New Roman"/>
                <w:sz w:val="14"/>
              </w:rPr>
              <w:t>Answer coverage</w:t>
            </w:r>
          </w:p>
        </w:tc>
        <w:tc>
          <w:tcPr>
            <w:tcW w:type="dxa" w:w="2590"/>
            <w:vAlign w:val="center"/>
          </w:tcPr>
          <w:p>
            <w:pPr>
              <w:spacing w:after="0" w:before="0"/>
            </w:pPr>
            <w:r>
              <w:rPr>
                <w:rFonts w:ascii="Times New Roman" w:hAnsi="Times New Roman"/>
                <w:sz w:val="14"/>
              </w:rPr>
              <w:t>0.6386</w:t>
            </w:r>
          </w:p>
        </w:tc>
        <w:tc>
          <w:tcPr>
            <w:tcW w:type="dxa" w:w="2590"/>
            <w:vAlign w:val="center"/>
          </w:tcPr>
          <w:p>
            <w:pPr>
              <w:spacing w:after="0" w:before="0"/>
            </w:pPr>
            <w:r>
              <w:rPr>
                <w:rFonts w:ascii="Times New Roman" w:hAnsi="Times New Roman"/>
                <w:sz w:val="14"/>
              </w:rPr>
              <w:t>0.5585</w:t>
            </w:r>
          </w:p>
        </w:tc>
        <w:tc>
          <w:tcPr>
            <w:tcW w:type="dxa" w:w="2590"/>
            <w:vAlign w:val="center"/>
          </w:tcPr>
          <w:p>
            <w:pPr>
              <w:spacing w:after="0" w:before="0"/>
            </w:pPr>
            <w:r>
              <w:rPr>
                <w:rFonts w:ascii="Times New Roman" w:hAnsi="Times New Roman"/>
                <w:sz w:val="14"/>
              </w:rPr>
              <w:t>-0.0801</w:t>
            </w:r>
          </w:p>
        </w:tc>
        <w:tc>
          <w:tcPr>
            <w:tcW w:type="dxa" w:w="2590"/>
            <w:vAlign w:val="center"/>
          </w:tcPr>
          <w:p>
            <w:pPr>
              <w:spacing w:after="0" w:before="0"/>
            </w:pPr>
            <w:r>
              <w:rPr>
                <w:rFonts w:ascii="Times New Roman" w:hAnsi="Times New Roman"/>
                <w:sz w:val="14"/>
              </w:rPr>
              <w:t>[-0.115, -0.045]</w:t>
            </w:r>
          </w:p>
        </w:tc>
        <w:tc>
          <w:tcPr>
            <w:tcW w:type="dxa" w:w="2590"/>
            <w:vAlign w:val="center"/>
          </w:tcPr>
          <w:p>
            <w:pPr>
              <w:spacing w:after="0" w:before="0"/>
            </w:pPr>
            <w:r>
              <w:rPr>
                <w:rFonts w:ascii="Times New Roman" w:hAnsi="Times New Roman"/>
                <w:sz w:val="14"/>
              </w:rPr>
              <w:t>&lt;0.001</w:t>
            </w:r>
          </w:p>
        </w:tc>
      </w:tr>
    </w:tbl>
    <w:p>
      <w:pPr>
        <w:pStyle w:val="Heading1"/>
      </w:pPr>
      <w:r>
        <w:t>S9. Seven-Mode Diagnostic Taxonomy</w:t>
      </w:r>
    </w:p>
    <w:p>
      <w:pPr>
        <w:spacing w:before="120" w:after="60"/>
      </w:pPr>
      <w:r>
        <w:rPr>
          <w:b/>
        </w:rPr>
        <w:t>Supplementary Table S9. Operational definitions for the seven diagnostic modes.</w:t>
      </w:r>
    </w:p>
    <w:tbl>
      <w:tblPr>
        <w:tblW w:w="0" w:type="auto"/>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200"/>
        <w:gridCol w:w="5400"/>
        <w:gridCol w:w="1600"/>
      </w:tblGrid>
      <w:tr>
        <w:trPr>
          <w:cantSplit/>
          <w:tblHeader/>
          <w:tblHeader w:val="true"/>
        </w:trPr>
        <w:tc>
          <w:tcPr>
            <w:tcW w:w="22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pPr>
              <w:spacing w:before="0" w:after="0"/>
              <w:jc w:val="both"/>
            </w:pPr>
            <w:r>
              <w:rPr>
                <w:rFonts w:ascii="Times New Roman" w:hAnsi="Times New Roman"/>
                <w:b/>
                <w:bCs/>
                <w:sz w:val="15"/>
                <w:szCs w:val="18"/>
              </w:rPr>
              <w:t xml:space="preserve">Mode</w:t>
            </w:r>
          </w:p>
        </w:tc>
        <w:tc>
          <w:tcPr>
            <w:tcW w:w="54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pPr>
              <w:spacing w:before="0" w:after="0"/>
              <w:jc w:val="both"/>
            </w:pPr>
            <w:r>
              <w:rPr>
                <w:rFonts w:ascii="Times New Roman" w:hAnsi="Times New Roman"/>
                <w:b/>
                <w:bCs/>
                <w:sz w:val="15"/>
                <w:szCs w:val="18"/>
              </w:rPr>
              <w:t xml:space="preserve">Operational definition</w:t>
            </w:r>
          </w:p>
        </w:tc>
        <w:tc>
          <w:tcPr>
            <w:tcW w:w="16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pPr>
              <w:spacing w:before="0" w:after="0"/>
              <w:jc w:val="both"/>
            </w:pPr>
            <w:r>
              <w:rPr>
                <w:rFonts w:ascii="Times New Roman" w:hAnsi="Times New Roman"/>
                <w:b/>
                <w:bCs/>
                <w:sz w:val="15"/>
                <w:szCs w:val="18"/>
              </w:rPr>
              <w:t xml:space="preserve">Root-cause layer</w:t>
            </w:r>
          </w:p>
        </w:tc>
      </w:tr>
      <w:tr>
        <w:trPr>
          <w:cantSplit/>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FM1 Retrieval Miss</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The evidence required to answer the question exists in the frozen corpus, but no sufficiently relevant document or chunk appears in the top-k retrieved context.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Retrieval</w:t>
            </w:r>
          </w:p>
        </w:tc>
      </w:tr>
      <w:tr>
        <w:trPr>
          <w:cantSplit/>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FM2 Context Noise</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Relevant evidence is present in the retrieved context, but excessive irrelevant, duplicated or conflicting material distracts the generator or causes an off-target answer.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Retrieved-context quality</w:t>
            </w:r>
          </w:p>
        </w:tc>
      </w:tr>
      <w:tr>
        <w:trPr>
          <w:cantSplit/>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FM3 Context Incompleteness</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The correct document or some relevant evidence is retrieved, but a necessary target, baseline, year, scope, conditionality clause or supporting passage is missing, truncated or omitted from the top-k context.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Retrieved-context quality</w:t>
            </w:r>
          </w:p>
        </w:tc>
      </w:tr>
      <w:tr>
        <w:trPr>
          <w:cantSplit/>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FM4 LLM Hallucination — automated-judge flag</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Adequate relevant context is available, but GPT-4o-mini labelled one or more material claims Unsupported or Fabricated relative to the author-prepared evidence package. This is an automated judge classification rather than an expert-human determination that the claim was factually false.</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Generation</w:t>
            </w:r>
          </w:p>
        </w:tc>
      </w:tr>
      <w:tr>
        <w:trPr>
          <w:cantSplit/>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FM5 LLM Vagueness</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Adequate evidence is available, but the answer remains overly general, omits requested numerical or policy details, or fails to provide the required comparison.</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Generation</w:t>
            </w:r>
          </w:p>
        </w:tc>
      </w:tr>
      <w:tr>
        <w:trPr>
          <w:cantSplit/>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FM6 Metric Mismatch</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The answer is substantively correct and source-supported, but receives a low automatic score because of paraphrasing, citation formatting, wording, unit presentation or mismatch with the author-prepared reference answer.</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Evaluation artefact</w:t>
            </w:r>
          </w:p>
        </w:tc>
      </w:tr>
      <w:tr>
        <w:trPr>
          <w:cantSplit/>
        </w:trPr>
        <w:tc>
          <w:tcPr>
            <w:tcW w:w="22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FM7 Corpus Gap</w:t>
            </w:r>
          </w:p>
        </w:tc>
        <w:tc>
          <w:tcPr>
            <w:tcW w:w="54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The evidence required to answer the question is genuinely absent from the frozen corpus; the system cannot answer or appropriately declares insufficient context.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72" w:type="dxa"/>
              <w:left w:w="100" w:type="dxa"/>
              <w:bottom w:w="72" w:type="dxa"/>
              <w:right w:w="100" w:type="dxa"/>
            </w:tcMar>
            <w:vAlign w:val="center"/>
          </w:tcPr>
          <w:p>
            <w:pPr>
              <w:spacing w:before="0" w:after="0"/>
              <w:jc w:val="both"/>
            </w:pPr>
            <w:r>
              <w:rPr>
                <w:rFonts w:ascii="Times New Roman" w:hAnsi="Times New Roman"/>
                <w:sz w:val="15"/>
                <w:szCs w:val="18"/>
              </w:rPr>
              <w:t xml:space="preserve">Corpus coverage</w:t>
            </w:r>
          </w:p>
        </w:tc>
      </w:tr>
    </w:tbl>
    <w:p>
      <w:pPr>
        <w:pStyle w:val="Heading1"/>
      </w:pPr>
      <w:r>
        <w:t>S10. Heatmap Review Sample and Formal Eight-Cell Metrics</w:t>
      </w:r>
    </w:p>
    <w:p>
      <w:r>
        <w:t>The extended review covered 35 cells, but 27 cited post-cut-off evidence and were excluded from formal metrics. The formal subset consists of eight cells. Detailed row-level records are included in Archive S1.</w:t>
      </w:r>
    </w:p>
    <w:p>
      <w:pPr>
        <w:spacing w:before="120" w:after="60"/>
      </w:pPr>
      <w:r>
        <w:rPr>
          <w:b/>
        </w:rPr>
        <w:t>Supplementary Table S10. Formal eight-cell performance metrics.</w:t>
      </w:r>
    </w:p>
    <w:tbl>
      <w:tblPr>
        <w:tblW w:w="9000" w:type="dxa"/>
        <w:jc w:val="center"/>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Layout w:type="fixed"/>
        <w:tblLook w:val="04A0" w:firstRow="1" w:lastRow="0" w:firstColumn="1" w:lastColumn="0" w:noHBand="0" w:noVBand="1"/>
      </w:tblPr>
      <w:tblGrid>
        <w:gridCol w:w="2400"/>
        <w:gridCol w:w="1900"/>
        <w:gridCol w:w="4700"/>
      </w:tblGrid>
      <w:tr w:rsidR="002F703B" w14:paraId="47B8DCBB" w14:textId="77777777">
        <w:trPr>
          <w:cantSplit/>
          <w:tblHeader/>
          <w:tblHeader w:val="true"/>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7FBBBA87" w14:textId="77777777" w:rsidR="002F703B" w:rsidRDefault="00000000">
            <w:pPr>
              <w:spacing w:before="0" w:after="0"/>
              <w:jc w:val="both"/>
            </w:pPr>
            <w:r>
              <w:rPr>
                <w:rFonts w:ascii="Times New Roman" w:hAnsi="Times New Roman"/>
                <w:b/>
                <w:bCs/>
                <w:sz w:val="15"/>
                <w:szCs w:val="19"/>
              </w:rPr>
              <w:t>Metric</w:t>
            </w:r>
          </w:p>
        </w:tc>
        <w:tc>
          <w:tcPr>
            <w:tcW w:w="19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5FEFCFB7" w14:textId="77777777" w:rsidR="002F703B" w:rsidRDefault="00000000">
            <w:pPr>
              <w:spacing w:before="0" w:after="0"/>
              <w:jc w:val="both"/>
            </w:pPr>
            <w:r>
              <w:rPr>
                <w:rFonts w:ascii="Times New Roman" w:hAnsi="Times New Roman"/>
                <w:b/>
                <w:bCs/>
                <w:sz w:val="15"/>
                <w:szCs w:val="19"/>
              </w:rPr>
              <w:t>Value</w:t>
            </w:r>
          </w:p>
        </w:tc>
        <w:tc>
          <w:tcPr>
            <w:tcW w:w="47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0E00974B" w14:textId="77777777" w:rsidR="002F703B" w:rsidRDefault="00000000">
            <w:pPr>
              <w:spacing w:before="0" w:after="0"/>
              <w:jc w:val="both"/>
            </w:pPr>
            <w:r>
              <w:rPr>
                <w:rFonts w:ascii="Times New Roman" w:hAnsi="Times New Roman"/>
                <w:b/>
                <w:bCs/>
                <w:sz w:val="15"/>
                <w:szCs w:val="19"/>
              </w:rPr>
              <w:t>Interpretation</w:t>
            </w:r>
          </w:p>
        </w:tc>
      </w:tr>
      <w:tr w:rsidR="002F703B" w14:paraId="14690893"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9F8CC86" w14:textId="77777777" w:rsidR="002F703B" w:rsidRDefault="00000000">
            <w:pPr>
              <w:spacing w:before="0" w:after="0"/>
              <w:jc w:val="both"/>
            </w:pPr>
            <w:r>
              <w:rPr>
                <w:rFonts w:ascii="Times New Roman" w:hAnsi="Times New Roman"/>
                <w:sz w:val="15"/>
                <w:szCs w:val="19"/>
              </w:rPr>
              <w:t>Reviewed heatmap cells</w:t>
            </w:r>
          </w:p>
        </w:tc>
        <w:tc>
          <w:tcPr>
            <w:tcW w:w="1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78CAFB4E" w14:textId="77777777" w:rsidR="002F703B" w:rsidRDefault="00000000">
            <w:pPr>
              <w:spacing w:before="0" w:after="0"/>
              <w:jc w:val="both"/>
            </w:pPr>
            <w:r>
              <w:rPr>
                <w:rFonts w:ascii="Times New Roman" w:hAnsi="Times New Roman"/>
                <w:sz w:val="15"/>
                <w:szCs w:val="19"/>
              </w:rPr>
              <w:t>8/119, 6.7%</w:t>
            </w:r>
          </w:p>
        </w:tc>
        <w:tc>
          <w:tcPr>
            <w:tcW w:w="47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E17DC3E" w14:textId="77777777" w:rsidR="002F703B" w:rsidRDefault="00000000">
            <w:pPr>
              <w:spacing w:before="0" w:after="0"/>
              <w:jc w:val="both"/>
            </w:pPr>
            <w:r>
              <w:rPr>
                <w:rFonts w:ascii="Times New Roman" w:hAnsi="Times New Roman"/>
                <w:sz w:val="15"/>
                <w:szCs w:val="19"/>
              </w:rPr>
              <w:t>Cut-off-compliant subset across five entities and five dimensions</w:t>
            </w:r>
          </w:p>
        </w:tc>
      </w:tr>
      <w:tr w:rsidR="002F703B" w14:paraId="5078973F"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C7A9EE9" w14:textId="77777777" w:rsidR="002F703B" w:rsidRDefault="00000000">
            <w:pPr>
              <w:spacing w:before="0" w:after="0"/>
              <w:jc w:val="both"/>
            </w:pPr>
            <w:r>
              <w:rPr>
                <w:rFonts w:ascii="Times New Roman" w:hAnsi="Times New Roman"/>
                <w:sz w:val="15"/>
                <w:szCs w:val="19"/>
              </w:rPr>
              <w:t>Exact classification agreement / accuracy</w:t>
            </w:r>
          </w:p>
        </w:tc>
        <w:tc>
          <w:tcPr>
            <w:tcW w:w="1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72F0A44" w14:textId="77777777" w:rsidR="002F703B" w:rsidRDefault="00000000">
            <w:pPr>
              <w:spacing w:before="0" w:after="0"/>
              <w:jc w:val="both"/>
            </w:pPr>
            <w:r>
              <w:rPr>
                <w:rFonts w:ascii="Times New Roman" w:hAnsi="Times New Roman"/>
                <w:sz w:val="15"/>
                <w:szCs w:val="19"/>
              </w:rPr>
              <w:t>50.0% (4/8)</w:t>
            </w:r>
          </w:p>
        </w:tc>
        <w:tc>
          <w:tcPr>
            <w:tcW w:w="47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2A9A054" w14:textId="77777777" w:rsidR="002F703B" w:rsidRDefault="00000000">
            <w:pPr>
              <w:spacing w:before="0" w:after="0"/>
              <w:jc w:val="both"/>
            </w:pPr>
            <w:r>
              <w:rPr>
                <w:rFonts w:ascii="Times New Roman" w:hAnsi="Times New Roman"/>
                <w:sz w:val="15"/>
                <w:szCs w:val="19"/>
              </w:rPr>
              <w:t>System and human reviewer assigned the same final class</w:t>
            </w:r>
          </w:p>
        </w:tc>
      </w:tr>
      <w:tr w:rsidR="002F703B" w14:paraId="77842BEF"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D4F38D5" w14:textId="77777777" w:rsidR="002F703B" w:rsidRDefault="00000000">
            <w:pPr>
              <w:spacing w:before="0" w:after="0"/>
              <w:jc w:val="both"/>
            </w:pPr>
            <w:r>
              <w:rPr>
                <w:rFonts w:ascii="Times New Roman" w:hAnsi="Times New Roman"/>
                <w:sz w:val="15"/>
                <w:szCs w:val="19"/>
              </w:rPr>
              <w:t>Classification disagreement</w:t>
            </w:r>
          </w:p>
        </w:tc>
        <w:tc>
          <w:tcPr>
            <w:tcW w:w="1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3442144" w14:textId="77777777" w:rsidR="002F703B" w:rsidRDefault="00000000">
            <w:pPr>
              <w:spacing w:before="0" w:after="0"/>
              <w:jc w:val="both"/>
            </w:pPr>
            <w:r>
              <w:rPr>
                <w:rFonts w:ascii="Times New Roman" w:hAnsi="Times New Roman"/>
                <w:sz w:val="15"/>
                <w:szCs w:val="19"/>
              </w:rPr>
              <w:t>50.0% (4/8)</w:t>
            </w:r>
          </w:p>
        </w:tc>
        <w:tc>
          <w:tcPr>
            <w:tcW w:w="47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7BCF809" w14:textId="77777777" w:rsidR="002F703B" w:rsidRDefault="00000000">
            <w:pPr>
              <w:spacing w:before="0" w:after="0"/>
              <w:jc w:val="both"/>
            </w:pPr>
            <w:r>
              <w:rPr>
                <w:rFonts w:ascii="Times New Roman" w:hAnsi="Times New Roman"/>
                <w:sz w:val="15"/>
                <w:szCs w:val="19"/>
              </w:rPr>
              <w:t>System and human reviewer assigned different classes</w:t>
            </w:r>
          </w:p>
        </w:tc>
      </w:tr>
      <w:tr w:rsidR="002F703B" w14:paraId="163CBED7"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249678A5" w14:textId="77777777" w:rsidR="002F703B" w:rsidRDefault="00000000">
            <w:pPr>
              <w:spacing w:before="0" w:after="0"/>
              <w:jc w:val="both"/>
            </w:pPr>
            <w:r>
              <w:rPr>
                <w:rFonts w:ascii="Times New Roman" w:hAnsi="Times New Roman"/>
                <w:sz w:val="15"/>
                <w:szCs w:val="19"/>
              </w:rPr>
              <w:t>Macro-averaged F1</w:t>
            </w:r>
          </w:p>
        </w:tc>
        <w:tc>
          <w:tcPr>
            <w:tcW w:w="1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B9F1F7E" w14:textId="77777777" w:rsidR="002F703B" w:rsidRDefault="00000000">
            <w:pPr>
              <w:spacing w:before="0" w:after="0"/>
              <w:jc w:val="both"/>
            </w:pPr>
            <w:r>
              <w:rPr>
                <w:rFonts w:ascii="Times New Roman" w:hAnsi="Times New Roman"/>
                <w:sz w:val="15"/>
                <w:szCs w:val="19"/>
              </w:rPr>
              <w:t>0.3333</w:t>
            </w:r>
          </w:p>
        </w:tc>
        <w:tc>
          <w:tcPr>
            <w:tcW w:w="47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287FE89" w14:textId="77777777" w:rsidR="002F703B" w:rsidRDefault="00000000">
            <w:pPr>
              <w:spacing w:before="0" w:after="0"/>
              <w:jc w:val="both"/>
            </w:pPr>
            <w:r>
              <w:rPr>
                <w:rFonts w:ascii="Times New Roman" w:hAnsi="Times New Roman"/>
                <w:sz w:val="15"/>
                <w:szCs w:val="19"/>
              </w:rPr>
              <w:t>Equal weighting across the five pre-specified outcomes</w:t>
            </w:r>
          </w:p>
        </w:tc>
      </w:tr>
      <w:tr w:rsidR="002F703B" w14:paraId="178DB573"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371F541" w14:textId="77777777" w:rsidR="002F703B" w:rsidRDefault="00000000">
            <w:pPr>
              <w:spacing w:before="0" w:after="0"/>
              <w:jc w:val="both"/>
            </w:pPr>
            <w:r>
              <w:rPr>
                <w:rFonts w:ascii="Times New Roman" w:hAnsi="Times New Roman"/>
                <w:sz w:val="15"/>
                <w:szCs w:val="19"/>
              </w:rPr>
              <w:t>Unweighted Cohen's Kappa</w:t>
            </w:r>
          </w:p>
        </w:tc>
        <w:tc>
          <w:tcPr>
            <w:tcW w:w="1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5DA8C77" w14:textId="77777777" w:rsidR="002F703B" w:rsidRDefault="00000000">
            <w:pPr>
              <w:spacing w:before="0" w:after="0"/>
              <w:jc w:val="both"/>
            </w:pPr>
            <w:r>
              <w:rPr>
                <w:rFonts w:ascii="Times New Roman" w:hAnsi="Times New Roman"/>
                <w:sz w:val="15"/>
                <w:szCs w:val="19"/>
              </w:rPr>
              <w:t>0.2889</w:t>
            </w:r>
          </w:p>
        </w:tc>
        <w:tc>
          <w:tcPr>
            <w:tcW w:w="47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C4B8082" w14:textId="77777777" w:rsidR="002F703B" w:rsidRDefault="00000000">
            <w:pPr>
              <w:spacing w:before="0" w:after="0"/>
              <w:jc w:val="both"/>
            </w:pPr>
            <w:r>
              <w:rPr>
                <w:rFonts w:ascii="Times New Roman" w:hAnsi="Times New Roman"/>
                <w:sz w:val="15"/>
                <w:szCs w:val="19"/>
              </w:rPr>
              <w:t>Chance-corrected system–human agreement across all five outcomes</w:t>
            </w:r>
          </w:p>
        </w:tc>
      </w:tr>
      <w:tr w:rsidR="002F703B" w14:paraId="415612DC"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276B56D" w14:textId="77777777" w:rsidR="002F703B" w:rsidRDefault="00000000">
            <w:pPr>
              <w:spacing w:before="0" w:after="0"/>
              <w:jc w:val="both"/>
            </w:pPr>
            <w:r>
              <w:rPr>
                <w:rFonts w:ascii="Times New Roman" w:hAnsi="Times New Roman"/>
                <w:sz w:val="15"/>
                <w:szCs w:val="19"/>
              </w:rPr>
              <w:t>Linear weighted Cohen's Kappa</w:t>
            </w:r>
          </w:p>
        </w:tc>
        <w:tc>
          <w:tcPr>
            <w:tcW w:w="1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F1AD65D" w14:textId="77777777" w:rsidR="002F703B" w:rsidRDefault="00000000">
            <w:pPr>
              <w:spacing w:before="0" w:after="0"/>
              <w:jc w:val="both"/>
            </w:pPr>
            <w:r>
              <w:rPr>
                <w:rFonts w:ascii="Times New Roman" w:hAnsi="Times New Roman"/>
                <w:sz w:val="15"/>
                <w:szCs w:val="19"/>
              </w:rPr>
              <w:t>0.2632</w:t>
            </w:r>
          </w:p>
        </w:tc>
        <w:tc>
          <w:tcPr>
            <w:tcW w:w="47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39E775E" w14:textId="77777777" w:rsidR="002F703B" w:rsidRDefault="00000000">
            <w:pPr>
              <w:spacing w:before="0" w:after="0"/>
              <w:jc w:val="both"/>
            </w:pPr>
            <w:r>
              <w:rPr>
                <w:rFonts w:ascii="Times New Roman" w:hAnsi="Times New Roman"/>
                <w:sz w:val="15"/>
                <w:szCs w:val="19"/>
              </w:rPr>
              <w:t>Ordinal agreement on seven cells, excluding the human NR case</w:t>
            </w:r>
          </w:p>
        </w:tc>
      </w:tr>
      <w:tr w:rsidR="002F703B" w14:paraId="62CA4D6E"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E1E673A" w14:textId="77777777" w:rsidR="002F703B" w:rsidRDefault="00000000">
            <w:pPr>
              <w:spacing w:before="0" w:after="0"/>
              <w:jc w:val="both"/>
            </w:pPr>
            <w:r>
              <w:rPr>
                <w:rFonts w:ascii="Times New Roman" w:hAnsi="Times New Roman"/>
                <w:sz w:val="15"/>
                <w:szCs w:val="19"/>
              </w:rPr>
              <w:t>Most frequent error</w:t>
            </w:r>
          </w:p>
        </w:tc>
        <w:tc>
          <w:tcPr>
            <w:tcW w:w="19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0F6AE5BA" w14:textId="77777777" w:rsidR="002F703B" w:rsidRDefault="00000000">
            <w:pPr>
              <w:spacing w:before="0" w:after="0"/>
              <w:jc w:val="both"/>
            </w:pPr>
            <w:r>
              <w:rPr>
                <w:rFonts w:ascii="Times New Roman" w:hAnsi="Times New Roman"/>
                <w:sz w:val="15"/>
                <w:szCs w:val="19"/>
              </w:rPr>
              <w:t>Significant → Aligned</w:t>
            </w:r>
          </w:p>
        </w:tc>
        <w:tc>
          <w:tcPr>
            <w:tcW w:w="47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2FBD941" w14:textId="77777777" w:rsidR="002F703B" w:rsidRDefault="00000000">
            <w:pPr>
              <w:spacing w:before="0" w:after="0"/>
              <w:jc w:val="both"/>
            </w:pPr>
            <w:r>
              <w:rPr>
                <w:rFonts w:ascii="Times New Roman" w:hAnsi="Times New Roman"/>
                <w:sz w:val="15"/>
                <w:szCs w:val="19"/>
              </w:rPr>
              <w:t>Two of the four errors used this direction</w:t>
            </w:r>
          </w:p>
        </w:tc>
      </w:tr>
    </w:tbl>
    <w:p>
      <w:pPr>
        <w:pStyle w:val="Heading1"/>
      </w:pPr>
      <w:r>
        <w:t>S11. Formal Confusion Matrix and Diagnostic Review Status</w:t>
      </w:r>
    </w:p>
    <w:p>
      <w:pPr>
        <w:spacing w:before="120" w:after="60"/>
      </w:pPr>
      <w:r>
        <w:rPr>
          <w:b/>
        </w:rPr>
        <w:t>Supplementary Table S11a. Five-class confusion matrix for the formal eight-cell pilot.</w:t>
      </w:r>
    </w:p>
    <w:tbl>
      <w:tblPr>
        <w:tblW w:w="0" w:type="auto"/>
        <w:jc w:val="center"/>
        <w:tblLayout w:type="fixed"/>
        <w:tblLook w:val="04A0" w:firstRow="1" w:lastRow="0" w:firstColumn="1" w:lastColumn="0" w:noHBand="0" w:noVBand="1"/>
      </w:tblPr>
      <w:tblGrid>
        <w:gridCol w:w="1500"/>
        <w:gridCol w:w="1360"/>
        <w:gridCol w:w="1360"/>
        <w:gridCol w:w="1360"/>
        <w:gridCol w:w="1360"/>
        <w:gridCol w:w="1360"/>
      </w:tblGrid>
      <w:tr w:rsidR="002F703B" w14:paraId="5C95A714" w14:textId="77777777">
        <w:trPr>
          <w:cantSplit/>
          <w:tblHeader/>
          <w:tblHeader w:val="true"/>
        </w:trPr>
        <w:tc>
          <w:tcPr>
            <w:tcW w:w="1500" w:type="dxa"/>
            <w:shd w:val="clear" w:color="auto" w:fill="D6E4F0"/>
            <w:vAlign w:val="center"/>
          </w:tcPr>
          <w:p w14:paraId="34F33914" w14:textId="77777777" w:rsidR="002F703B" w:rsidRDefault="00000000">
            <w:pPr>
              <w:spacing w:after="0" w:before="0"/>
              <w:jc w:val="both"/>
            </w:pPr>
            <w:r>
              <w:rPr>
                <w:rFonts w:ascii="Times New Roman" w:hAnsi="Times New Roman"/>
                <w:b/>
                <w:sz w:val="15"/>
              </w:rPr>
              <w:t>Human \ System</w:t>
            </w:r>
          </w:p>
        </w:tc>
        <w:tc>
          <w:tcPr>
            <w:tcW w:w="1360" w:type="dxa"/>
            <w:shd w:val="clear" w:color="auto" w:fill="D6E4F0"/>
            <w:vAlign w:val="center"/>
          </w:tcPr>
          <w:p w14:paraId="71E17C7E" w14:textId="77777777" w:rsidR="002F703B" w:rsidRDefault="00000000">
            <w:pPr>
              <w:spacing w:after="0" w:before="0"/>
              <w:jc w:val="both"/>
            </w:pPr>
            <w:r>
              <w:rPr>
                <w:rFonts w:ascii="Times New Roman" w:hAnsi="Times New Roman"/>
                <w:b/>
                <w:sz w:val="15"/>
              </w:rPr>
              <w:t>Aligned</w:t>
            </w:r>
          </w:p>
        </w:tc>
        <w:tc>
          <w:tcPr>
            <w:tcW w:w="1360" w:type="dxa"/>
            <w:shd w:val="clear" w:color="auto" w:fill="D6E4F0"/>
            <w:vAlign w:val="center"/>
          </w:tcPr>
          <w:p w14:paraId="7271F1DF" w14:textId="77777777" w:rsidR="002F703B" w:rsidRDefault="00000000">
            <w:pPr>
              <w:spacing w:after="0" w:before="0"/>
              <w:jc w:val="both"/>
            </w:pPr>
            <w:r>
              <w:rPr>
                <w:rFonts w:ascii="Times New Roman" w:hAnsi="Times New Roman"/>
                <w:b/>
                <w:sz w:val="15"/>
              </w:rPr>
              <w:t>Significant</w:t>
            </w:r>
          </w:p>
        </w:tc>
        <w:tc>
          <w:tcPr>
            <w:tcW w:w="1360" w:type="dxa"/>
            <w:shd w:val="clear" w:color="auto" w:fill="D6E4F0"/>
            <w:vAlign w:val="center"/>
          </w:tcPr>
          <w:p w14:paraId="1858DAD8" w14:textId="77777777" w:rsidR="002F703B" w:rsidRDefault="00000000">
            <w:pPr>
              <w:spacing w:after="0" w:before="0"/>
              <w:jc w:val="both"/>
            </w:pPr>
            <w:r>
              <w:rPr>
                <w:rFonts w:ascii="Times New Roman" w:hAnsi="Times New Roman"/>
                <w:b/>
                <w:sz w:val="15"/>
              </w:rPr>
              <w:t>Critical</w:t>
            </w:r>
          </w:p>
        </w:tc>
        <w:tc>
          <w:tcPr>
            <w:tcW w:w="1360" w:type="dxa"/>
            <w:shd w:val="clear" w:color="auto" w:fill="D6E4F0"/>
            <w:vAlign w:val="center"/>
          </w:tcPr>
          <w:p w14:paraId="23D05A6D" w14:textId="77777777" w:rsidR="002F703B" w:rsidRDefault="00000000">
            <w:pPr>
              <w:spacing w:after="0" w:before="0"/>
              <w:jc w:val="both"/>
            </w:pPr>
            <w:r>
              <w:rPr>
                <w:rFonts w:ascii="Times New Roman" w:hAnsi="Times New Roman"/>
                <w:b/>
                <w:sz w:val="15"/>
              </w:rPr>
              <w:t>Absent</w:t>
            </w:r>
          </w:p>
        </w:tc>
        <w:tc>
          <w:tcPr>
            <w:tcW w:w="1360" w:type="dxa"/>
            <w:shd w:val="clear" w:color="auto" w:fill="D6E4F0"/>
            <w:vAlign w:val="center"/>
          </w:tcPr>
          <w:p w14:paraId="0B29C5CB" w14:textId="77777777" w:rsidR="002F703B" w:rsidRDefault="00000000">
            <w:pPr>
              <w:spacing w:after="0" w:before="0"/>
              <w:jc w:val="both"/>
            </w:pPr>
            <w:r>
              <w:rPr>
                <w:rFonts w:ascii="Times New Roman" w:hAnsi="Times New Roman"/>
                <w:b/>
                <w:sz w:val="15"/>
              </w:rPr>
              <w:t>Not Directly Comparable</w:t>
            </w:r>
          </w:p>
        </w:tc>
      </w:tr>
      <w:tr w:rsidR="002F703B" w14:paraId="7ECE7B9C" w14:textId="77777777">
        <w:trPr>
          <w:cantSplit/>
        </w:trPr>
        <w:tc>
          <w:tcPr>
            <w:tcW w:w="1500" w:type="dxa"/>
            <w:shd w:val="clear" w:color="auto" w:fill="D6E4F0"/>
            <w:vAlign w:val="center"/>
          </w:tcPr>
          <w:p w14:paraId="74379C27" w14:textId="77777777" w:rsidR="002F703B" w:rsidRDefault="00000000">
            <w:pPr>
              <w:spacing w:after="0" w:before="0"/>
              <w:jc w:val="both"/>
            </w:pPr>
            <w:r>
              <w:rPr>
                <w:rFonts w:ascii="Times New Roman" w:hAnsi="Times New Roman"/>
                <w:b/>
                <w:sz w:val="15"/>
              </w:rPr>
              <w:t>Aligned (n=0)</w:t>
            </w:r>
          </w:p>
        </w:tc>
        <w:tc>
          <w:tcPr>
            <w:tcW w:w="1360" w:type="dxa"/>
            <w:shd w:val="clear" w:color="auto" w:fill="C6EFCE"/>
            <w:vAlign w:val="center"/>
          </w:tcPr>
          <w:p w14:paraId="146E87F8" w14:textId="77777777" w:rsidR="002F703B" w:rsidRDefault="00000000">
            <w:pPr>
              <w:spacing w:after="0" w:before="0"/>
              <w:jc w:val="both"/>
            </w:pPr>
            <w:r>
              <w:rPr>
                <w:rFonts w:ascii="Times New Roman" w:hAnsi="Times New Roman"/>
                <w:b/>
                <w:sz w:val="15"/>
              </w:rPr>
              <w:t>0</w:t>
            </w:r>
          </w:p>
        </w:tc>
        <w:tc>
          <w:tcPr>
            <w:tcW w:w="1360" w:type="dxa"/>
            <w:vAlign w:val="center"/>
          </w:tcPr>
          <w:p w14:paraId="6F62FC0C" w14:textId="77777777" w:rsidR="002F703B" w:rsidRDefault="00000000">
            <w:pPr>
              <w:spacing w:after="0" w:before="0"/>
              <w:jc w:val="both"/>
            </w:pPr>
            <w:r>
              <w:rPr>
                <w:rFonts w:ascii="Times New Roman" w:hAnsi="Times New Roman"/>
                <w:sz w:val="15"/>
              </w:rPr>
              <w:t>0</w:t>
            </w:r>
          </w:p>
        </w:tc>
        <w:tc>
          <w:tcPr>
            <w:tcW w:w="1360" w:type="dxa"/>
            <w:vAlign w:val="center"/>
          </w:tcPr>
          <w:p w14:paraId="436C5916" w14:textId="77777777" w:rsidR="002F703B" w:rsidRDefault="00000000">
            <w:pPr>
              <w:spacing w:after="0" w:before="0"/>
              <w:jc w:val="both"/>
            </w:pPr>
            <w:r>
              <w:rPr>
                <w:rFonts w:ascii="Times New Roman" w:hAnsi="Times New Roman"/>
                <w:sz w:val="15"/>
              </w:rPr>
              <w:t>0</w:t>
            </w:r>
          </w:p>
        </w:tc>
        <w:tc>
          <w:tcPr>
            <w:tcW w:w="1360" w:type="dxa"/>
            <w:vAlign w:val="center"/>
          </w:tcPr>
          <w:p w14:paraId="2EA27D3B" w14:textId="77777777" w:rsidR="002F703B" w:rsidRDefault="00000000">
            <w:pPr>
              <w:spacing w:after="0" w:before="0"/>
              <w:jc w:val="both"/>
            </w:pPr>
            <w:r>
              <w:rPr>
                <w:rFonts w:ascii="Times New Roman" w:hAnsi="Times New Roman"/>
                <w:sz w:val="15"/>
              </w:rPr>
              <w:t>0</w:t>
            </w:r>
          </w:p>
        </w:tc>
        <w:tc>
          <w:tcPr>
            <w:tcW w:w="1360" w:type="dxa"/>
            <w:vAlign w:val="center"/>
          </w:tcPr>
          <w:p w14:paraId="2AAB0AEA" w14:textId="77777777" w:rsidR="002F703B" w:rsidRDefault="00000000">
            <w:pPr>
              <w:spacing w:after="0" w:before="0"/>
              <w:jc w:val="both"/>
            </w:pPr>
            <w:r>
              <w:rPr>
                <w:rFonts w:ascii="Times New Roman" w:hAnsi="Times New Roman"/>
                <w:sz w:val="15"/>
              </w:rPr>
              <w:t>0</w:t>
            </w:r>
          </w:p>
        </w:tc>
      </w:tr>
      <w:tr w:rsidR="002F703B" w14:paraId="2A09BFC9" w14:textId="77777777">
        <w:trPr>
          <w:cantSplit/>
        </w:trPr>
        <w:tc>
          <w:tcPr>
            <w:tcW w:w="1500" w:type="dxa"/>
            <w:shd w:val="clear" w:color="auto" w:fill="D6E4F0"/>
            <w:vAlign w:val="center"/>
          </w:tcPr>
          <w:p w14:paraId="5269103F" w14:textId="77777777" w:rsidR="002F703B" w:rsidRDefault="00000000">
            <w:pPr>
              <w:spacing w:after="0" w:before="0"/>
              <w:jc w:val="both"/>
            </w:pPr>
            <w:r>
              <w:rPr>
                <w:rFonts w:ascii="Times New Roman" w:hAnsi="Times New Roman"/>
                <w:b/>
                <w:sz w:val="15"/>
              </w:rPr>
              <w:t>Significant (n=6)</w:t>
            </w:r>
          </w:p>
        </w:tc>
        <w:tc>
          <w:tcPr>
            <w:tcW w:w="1360" w:type="dxa"/>
            <w:vAlign w:val="center"/>
          </w:tcPr>
          <w:p w14:paraId="23A13567" w14:textId="77777777" w:rsidR="002F703B" w:rsidRDefault="00000000">
            <w:pPr>
              <w:spacing w:after="0" w:before="0"/>
              <w:jc w:val="both"/>
            </w:pPr>
            <w:r>
              <w:rPr>
                <w:rFonts w:ascii="Times New Roman" w:hAnsi="Times New Roman"/>
                <w:sz w:val="15"/>
              </w:rPr>
              <w:t>2</w:t>
            </w:r>
          </w:p>
        </w:tc>
        <w:tc>
          <w:tcPr>
            <w:tcW w:w="1360" w:type="dxa"/>
            <w:shd w:val="clear" w:color="auto" w:fill="C6EFCE"/>
            <w:vAlign w:val="center"/>
          </w:tcPr>
          <w:p w14:paraId="7A8A7533" w14:textId="77777777" w:rsidR="002F703B" w:rsidRDefault="00000000">
            <w:pPr>
              <w:spacing w:after="0" w:before="0"/>
              <w:jc w:val="both"/>
            </w:pPr>
            <w:r>
              <w:rPr>
                <w:rFonts w:ascii="Times New Roman" w:hAnsi="Times New Roman"/>
                <w:b/>
                <w:sz w:val="15"/>
              </w:rPr>
              <w:t>3</w:t>
            </w:r>
          </w:p>
        </w:tc>
        <w:tc>
          <w:tcPr>
            <w:tcW w:w="1360" w:type="dxa"/>
            <w:vAlign w:val="center"/>
          </w:tcPr>
          <w:p w14:paraId="2CBF1BFE" w14:textId="77777777" w:rsidR="002F703B" w:rsidRDefault="00000000">
            <w:pPr>
              <w:spacing w:after="0" w:before="0"/>
              <w:jc w:val="both"/>
            </w:pPr>
            <w:r>
              <w:rPr>
                <w:rFonts w:ascii="Times New Roman" w:hAnsi="Times New Roman"/>
                <w:sz w:val="15"/>
              </w:rPr>
              <w:t>0</w:t>
            </w:r>
          </w:p>
        </w:tc>
        <w:tc>
          <w:tcPr>
            <w:tcW w:w="1360" w:type="dxa"/>
            <w:vAlign w:val="center"/>
          </w:tcPr>
          <w:p w14:paraId="3AA1997E" w14:textId="77777777" w:rsidR="002F703B" w:rsidRDefault="00000000">
            <w:pPr>
              <w:spacing w:after="0" w:before="0"/>
              <w:jc w:val="both"/>
            </w:pPr>
            <w:r>
              <w:rPr>
                <w:rFonts w:ascii="Times New Roman" w:hAnsi="Times New Roman"/>
                <w:sz w:val="15"/>
              </w:rPr>
              <w:t>1</w:t>
            </w:r>
          </w:p>
        </w:tc>
        <w:tc>
          <w:tcPr>
            <w:tcW w:w="1360" w:type="dxa"/>
            <w:vAlign w:val="center"/>
          </w:tcPr>
          <w:p w14:paraId="648A55C8" w14:textId="77777777" w:rsidR="002F703B" w:rsidRDefault="00000000">
            <w:pPr>
              <w:spacing w:after="0" w:before="0"/>
              <w:jc w:val="both"/>
            </w:pPr>
            <w:r>
              <w:rPr>
                <w:rFonts w:ascii="Times New Roman" w:hAnsi="Times New Roman"/>
                <w:sz w:val="15"/>
              </w:rPr>
              <w:t>0</w:t>
            </w:r>
          </w:p>
        </w:tc>
      </w:tr>
      <w:tr w:rsidR="002F703B" w14:paraId="77AADF36" w14:textId="77777777">
        <w:trPr>
          <w:cantSplit/>
        </w:trPr>
        <w:tc>
          <w:tcPr>
            <w:tcW w:w="1500" w:type="dxa"/>
            <w:shd w:val="clear" w:color="auto" w:fill="D6E4F0"/>
            <w:vAlign w:val="center"/>
          </w:tcPr>
          <w:p w14:paraId="530F4B99" w14:textId="77777777" w:rsidR="002F703B" w:rsidRDefault="00000000">
            <w:pPr>
              <w:spacing w:after="0" w:before="0"/>
              <w:jc w:val="both"/>
            </w:pPr>
            <w:r>
              <w:rPr>
                <w:rFonts w:ascii="Times New Roman" w:hAnsi="Times New Roman"/>
                <w:b/>
                <w:sz w:val="15"/>
              </w:rPr>
              <w:t>Critical (n=1)</w:t>
            </w:r>
          </w:p>
        </w:tc>
        <w:tc>
          <w:tcPr>
            <w:tcW w:w="1360" w:type="dxa"/>
            <w:vAlign w:val="center"/>
          </w:tcPr>
          <w:p w14:paraId="0CD414A9" w14:textId="77777777" w:rsidR="002F703B" w:rsidRDefault="00000000">
            <w:pPr>
              <w:spacing w:after="0" w:before="0"/>
              <w:jc w:val="both"/>
            </w:pPr>
            <w:r>
              <w:rPr>
                <w:rFonts w:ascii="Times New Roman" w:hAnsi="Times New Roman"/>
                <w:sz w:val="15"/>
              </w:rPr>
              <w:t>0</w:t>
            </w:r>
          </w:p>
        </w:tc>
        <w:tc>
          <w:tcPr>
            <w:tcW w:w="1360" w:type="dxa"/>
            <w:vAlign w:val="center"/>
          </w:tcPr>
          <w:p w14:paraId="3F295656" w14:textId="77777777" w:rsidR="002F703B" w:rsidRDefault="00000000">
            <w:pPr>
              <w:spacing w:after="0" w:before="0"/>
              <w:jc w:val="both"/>
            </w:pPr>
            <w:r>
              <w:rPr>
                <w:rFonts w:ascii="Times New Roman" w:hAnsi="Times New Roman"/>
                <w:sz w:val="15"/>
              </w:rPr>
              <w:t>0</w:t>
            </w:r>
          </w:p>
        </w:tc>
        <w:tc>
          <w:tcPr>
            <w:tcW w:w="1360" w:type="dxa"/>
            <w:shd w:val="clear" w:color="auto" w:fill="C6EFCE"/>
            <w:vAlign w:val="center"/>
          </w:tcPr>
          <w:p w14:paraId="2FE1EAE6" w14:textId="77777777" w:rsidR="002F703B" w:rsidRDefault="00000000">
            <w:pPr>
              <w:spacing w:after="0" w:before="0"/>
              <w:jc w:val="both"/>
            </w:pPr>
            <w:r>
              <w:rPr>
                <w:rFonts w:ascii="Times New Roman" w:hAnsi="Times New Roman"/>
                <w:b/>
                <w:sz w:val="15"/>
              </w:rPr>
              <w:t>1</w:t>
            </w:r>
          </w:p>
        </w:tc>
        <w:tc>
          <w:tcPr>
            <w:tcW w:w="1360" w:type="dxa"/>
            <w:vAlign w:val="center"/>
          </w:tcPr>
          <w:p w14:paraId="08FD423D" w14:textId="77777777" w:rsidR="002F703B" w:rsidRDefault="00000000">
            <w:pPr>
              <w:spacing w:after="0" w:before="0"/>
              <w:jc w:val="both"/>
            </w:pPr>
            <w:r>
              <w:rPr>
                <w:rFonts w:ascii="Times New Roman" w:hAnsi="Times New Roman"/>
                <w:sz w:val="15"/>
              </w:rPr>
              <w:t>0</w:t>
            </w:r>
          </w:p>
        </w:tc>
        <w:tc>
          <w:tcPr>
            <w:tcW w:w="1360" w:type="dxa"/>
            <w:vAlign w:val="center"/>
          </w:tcPr>
          <w:p w14:paraId="76E2D8FA" w14:textId="77777777" w:rsidR="002F703B" w:rsidRDefault="00000000">
            <w:pPr>
              <w:spacing w:after="0" w:before="0"/>
              <w:jc w:val="both"/>
            </w:pPr>
            <w:r>
              <w:rPr>
                <w:rFonts w:ascii="Times New Roman" w:hAnsi="Times New Roman"/>
                <w:sz w:val="15"/>
              </w:rPr>
              <w:t>0</w:t>
            </w:r>
          </w:p>
        </w:tc>
      </w:tr>
      <w:tr w:rsidR="002F703B" w14:paraId="54D43666" w14:textId="77777777">
        <w:trPr>
          <w:cantSplit/>
        </w:trPr>
        <w:tc>
          <w:tcPr>
            <w:tcW w:w="1500" w:type="dxa"/>
            <w:shd w:val="clear" w:color="auto" w:fill="D6E4F0"/>
            <w:vAlign w:val="center"/>
          </w:tcPr>
          <w:p w14:paraId="71420623" w14:textId="77777777" w:rsidR="002F703B" w:rsidRDefault="00000000">
            <w:pPr>
              <w:spacing w:after="0" w:before="0"/>
              <w:jc w:val="both"/>
            </w:pPr>
            <w:r>
              <w:rPr>
                <w:rFonts w:ascii="Times New Roman" w:hAnsi="Times New Roman"/>
                <w:b/>
                <w:sz w:val="15"/>
              </w:rPr>
              <w:t>Absent (n=0)</w:t>
            </w:r>
          </w:p>
        </w:tc>
        <w:tc>
          <w:tcPr>
            <w:tcW w:w="1360" w:type="dxa"/>
            <w:vAlign w:val="center"/>
          </w:tcPr>
          <w:p w14:paraId="0CF25FBC" w14:textId="77777777" w:rsidR="002F703B" w:rsidRDefault="00000000">
            <w:pPr>
              <w:spacing w:after="0" w:before="0"/>
              <w:jc w:val="both"/>
            </w:pPr>
            <w:r>
              <w:rPr>
                <w:rFonts w:ascii="Times New Roman" w:hAnsi="Times New Roman"/>
                <w:sz w:val="15"/>
              </w:rPr>
              <w:t>0</w:t>
            </w:r>
          </w:p>
        </w:tc>
        <w:tc>
          <w:tcPr>
            <w:tcW w:w="1360" w:type="dxa"/>
            <w:vAlign w:val="center"/>
          </w:tcPr>
          <w:p w14:paraId="494F5BE1" w14:textId="77777777" w:rsidR="002F703B" w:rsidRDefault="00000000">
            <w:pPr>
              <w:spacing w:after="0" w:before="0"/>
              <w:jc w:val="both"/>
            </w:pPr>
            <w:r>
              <w:rPr>
                <w:rFonts w:ascii="Times New Roman" w:hAnsi="Times New Roman"/>
                <w:sz w:val="15"/>
              </w:rPr>
              <w:t>0</w:t>
            </w:r>
          </w:p>
        </w:tc>
        <w:tc>
          <w:tcPr>
            <w:tcW w:w="1360" w:type="dxa"/>
            <w:vAlign w:val="center"/>
          </w:tcPr>
          <w:p w14:paraId="0484A381" w14:textId="77777777" w:rsidR="002F703B" w:rsidRDefault="00000000">
            <w:pPr>
              <w:spacing w:after="0" w:before="0"/>
              <w:jc w:val="both"/>
            </w:pPr>
            <w:r>
              <w:rPr>
                <w:rFonts w:ascii="Times New Roman" w:hAnsi="Times New Roman"/>
                <w:sz w:val="15"/>
              </w:rPr>
              <w:t>0</w:t>
            </w:r>
          </w:p>
        </w:tc>
        <w:tc>
          <w:tcPr>
            <w:tcW w:w="1360" w:type="dxa"/>
            <w:shd w:val="clear" w:color="auto" w:fill="C6EFCE"/>
            <w:vAlign w:val="center"/>
          </w:tcPr>
          <w:p w14:paraId="6F813A64" w14:textId="77777777" w:rsidR="002F703B" w:rsidRDefault="00000000">
            <w:pPr>
              <w:spacing w:after="0" w:before="0"/>
              <w:jc w:val="both"/>
            </w:pPr>
            <w:r>
              <w:rPr>
                <w:rFonts w:ascii="Times New Roman" w:hAnsi="Times New Roman"/>
                <w:b/>
                <w:sz w:val="15"/>
              </w:rPr>
              <w:t>0</w:t>
            </w:r>
          </w:p>
        </w:tc>
        <w:tc>
          <w:tcPr>
            <w:tcW w:w="1360" w:type="dxa"/>
            <w:vAlign w:val="center"/>
          </w:tcPr>
          <w:p w14:paraId="4BAA06D0" w14:textId="77777777" w:rsidR="002F703B" w:rsidRDefault="00000000">
            <w:pPr>
              <w:spacing w:after="0" w:before="0"/>
              <w:jc w:val="both"/>
            </w:pPr>
            <w:r>
              <w:rPr>
                <w:rFonts w:ascii="Times New Roman" w:hAnsi="Times New Roman"/>
                <w:sz w:val="15"/>
              </w:rPr>
              <w:t>0</w:t>
            </w:r>
          </w:p>
        </w:tc>
      </w:tr>
      <w:tr w:rsidR="002F703B" w14:paraId="3EC90A26" w14:textId="77777777">
        <w:trPr>
          <w:cantSplit/>
        </w:trPr>
        <w:tc>
          <w:tcPr>
            <w:tcW w:w="1500" w:type="dxa"/>
            <w:shd w:val="clear" w:color="auto" w:fill="D6E4F0"/>
            <w:vAlign w:val="center"/>
          </w:tcPr>
          <w:p w14:paraId="6C37C2EA" w14:textId="77777777" w:rsidR="002F703B" w:rsidRDefault="00000000">
            <w:pPr>
              <w:spacing w:after="0" w:before="0"/>
              <w:jc w:val="both"/>
            </w:pPr>
            <w:r>
              <w:rPr>
                <w:rFonts w:ascii="Times New Roman" w:hAnsi="Times New Roman"/>
                <w:b/>
                <w:sz w:val="15"/>
              </w:rPr>
              <w:t>Not Directly Comparable (n=1)</w:t>
            </w:r>
          </w:p>
        </w:tc>
        <w:tc>
          <w:tcPr>
            <w:tcW w:w="1360" w:type="dxa"/>
            <w:vAlign w:val="center"/>
          </w:tcPr>
          <w:p w14:paraId="323D7F5F" w14:textId="77777777" w:rsidR="002F703B" w:rsidRDefault="00000000">
            <w:pPr>
              <w:spacing w:after="0" w:before="0"/>
              <w:jc w:val="both"/>
            </w:pPr>
            <w:r>
              <w:rPr>
                <w:rFonts w:ascii="Times New Roman" w:hAnsi="Times New Roman"/>
                <w:sz w:val="15"/>
              </w:rPr>
              <w:t>0</w:t>
            </w:r>
          </w:p>
        </w:tc>
        <w:tc>
          <w:tcPr>
            <w:tcW w:w="1360" w:type="dxa"/>
            <w:vAlign w:val="center"/>
          </w:tcPr>
          <w:p w14:paraId="7C4C3CCB" w14:textId="77777777" w:rsidR="002F703B" w:rsidRDefault="00000000">
            <w:pPr>
              <w:spacing w:after="0" w:before="0"/>
              <w:jc w:val="both"/>
            </w:pPr>
            <w:r>
              <w:rPr>
                <w:rFonts w:ascii="Times New Roman" w:hAnsi="Times New Roman"/>
                <w:sz w:val="15"/>
              </w:rPr>
              <w:t>0</w:t>
            </w:r>
          </w:p>
        </w:tc>
        <w:tc>
          <w:tcPr>
            <w:tcW w:w="1360" w:type="dxa"/>
            <w:vAlign w:val="center"/>
          </w:tcPr>
          <w:p w14:paraId="13C53D6C" w14:textId="77777777" w:rsidR="002F703B" w:rsidRDefault="00000000">
            <w:pPr>
              <w:spacing w:after="0" w:before="0"/>
              <w:jc w:val="both"/>
            </w:pPr>
            <w:r>
              <w:rPr>
                <w:rFonts w:ascii="Times New Roman" w:hAnsi="Times New Roman"/>
                <w:sz w:val="15"/>
              </w:rPr>
              <w:t>0</w:t>
            </w:r>
          </w:p>
        </w:tc>
        <w:tc>
          <w:tcPr>
            <w:tcW w:w="1360" w:type="dxa"/>
            <w:vAlign w:val="center"/>
          </w:tcPr>
          <w:p w14:paraId="10D20D83" w14:textId="77777777" w:rsidR="002F703B" w:rsidRDefault="00000000">
            <w:pPr>
              <w:spacing w:after="0" w:before="0"/>
              <w:jc w:val="both"/>
            </w:pPr>
            <w:r>
              <w:rPr>
                <w:rFonts w:ascii="Times New Roman" w:hAnsi="Times New Roman"/>
                <w:sz w:val="15"/>
              </w:rPr>
              <w:t>1</w:t>
            </w:r>
          </w:p>
        </w:tc>
        <w:tc>
          <w:tcPr>
            <w:tcW w:w="1360" w:type="dxa"/>
            <w:vAlign w:val="center"/>
          </w:tcPr>
          <w:p w14:paraId="655D13AF" w14:textId="77777777" w:rsidR="002F703B" w:rsidRDefault="00000000">
            <w:pPr>
              <w:spacing w:after="0" w:before="0"/>
              <w:jc w:val="both"/>
            </w:pPr>
            <w:r>
              <w:rPr>
                <w:rFonts w:ascii="Times New Roman" w:hAnsi="Times New Roman"/>
                <w:b/>
                <w:sz w:val="15"/>
              </w:rPr>
              <w:t>0</w:t>
            </w:r>
          </w:p>
        </w:tc>
      </w:tr>
    </w:tbl>
    <w:p>
      <w:pPr>
        <w:spacing w:before="120" w:after="60"/>
      </w:pPr>
      <w:r>
        <w:rPr>
          <w:b/>
        </w:rPr>
        <w:t>Supplementary Table S11b. Extended 35-cell diagnostic metrics.</w:t>
      </w:r>
    </w:p>
    <w:tbl>
      <w:tblPr>
        <w:tblW w:type="auto" w:w="0"/>
        <w:jc w:val="center"/>
        <w:tblLook w:firstColumn="1" w:firstRow="1" w:lastColumn="0" w:lastRow="0" w:noHBand="0" w:noVBand="1" w:val="04A0"/>
      </w:tblPr>
      <w:tblGrid>
        <w:gridCol w:w="5181"/>
        <w:gridCol w:w="5181"/>
        <w:gridCol w:w="5181"/>
      </w:tblGrid>
      <w:tr>
        <w:trPr>
          <w:tblHeader w:val="true"/>
        </w:trPr>
        <w:tc>
          <w:tcPr>
            <w:tcW w:type="dxa" w:w="5181"/>
            <w:vAlign w:val="center"/>
          </w:tcPr>
          <w:p>
            <w:pPr>
              <w:spacing w:after="0" w:before="0"/>
            </w:pPr>
            <w:r>
              <w:rPr>
                <w:rFonts w:ascii="Times New Roman" w:hAnsi="Times New Roman"/>
                <w:sz w:val="14"/>
              </w:rPr>
              <w:t>Metric</w:t>
            </w:r>
          </w:p>
        </w:tc>
        <w:tc>
          <w:tcPr>
            <w:tcW w:type="dxa" w:w="5181"/>
            <w:vAlign w:val="center"/>
          </w:tcPr>
          <w:p>
            <w:pPr>
              <w:spacing w:after="0" w:before="0"/>
            </w:pPr>
            <w:r>
              <w:rPr>
                <w:rFonts w:ascii="Times New Roman" w:hAnsi="Times New Roman"/>
                <w:sz w:val="14"/>
              </w:rPr>
              <w:t>Value</w:t>
            </w:r>
          </w:p>
        </w:tc>
        <w:tc>
          <w:tcPr>
            <w:tcW w:type="dxa" w:w="5181"/>
            <w:vAlign w:val="center"/>
          </w:tcPr>
          <w:p>
            <w:pPr>
              <w:spacing w:after="0" w:before="0"/>
            </w:pPr>
            <w:r>
              <w:rPr>
                <w:rFonts w:ascii="Times New Roman" w:hAnsi="Times New Roman"/>
                <w:sz w:val="14"/>
              </w:rPr>
              <w:t>Notes</w:t>
            </w:r>
          </w:p>
        </w:tc>
      </w:tr>
      <w:tr>
        <w:tc>
          <w:tcPr>
            <w:tcW w:type="dxa" w:w="5181"/>
            <w:vAlign w:val="center"/>
          </w:tcPr>
          <w:p>
            <w:pPr>
              <w:spacing w:after="0" w:before="0"/>
            </w:pPr>
            <w:r>
              <w:rPr>
                <w:rFonts w:ascii="Times New Roman" w:hAnsi="Times New Roman"/>
                <w:sz w:val="14"/>
              </w:rPr>
              <w:t>Reviewed cells</w:t>
            </w:r>
          </w:p>
        </w:tc>
        <w:tc>
          <w:tcPr>
            <w:tcW w:type="dxa" w:w="5181"/>
            <w:vAlign w:val="center"/>
          </w:tcPr>
          <w:p>
            <w:pPr>
              <w:spacing w:after="0" w:before="0"/>
            </w:pPr>
            <w:r>
              <w:rPr>
                <w:rFonts w:ascii="Times New Roman" w:hAnsi="Times New Roman"/>
                <w:sz w:val="14"/>
              </w:rPr>
              <w:t>35</w:t>
            </w:r>
          </w:p>
        </w:tc>
        <w:tc>
          <w:tcPr>
            <w:tcW w:type="dxa" w:w="5181"/>
            <w:vAlign w:val="center"/>
          </w:tcPr>
          <w:p>
            <w:pPr>
              <w:spacing w:after="0" w:before="0"/>
            </w:pPr>
            <w:r>
              <w:rPr>
                <w:rFonts w:ascii="Times New Roman" w:hAnsi="Times New Roman"/>
                <w:sz w:val="14"/>
              </w:rPr>
              <w:t>Diagnostic subset; 27 rows flagged as potentially post-cut-off</w:t>
            </w:r>
          </w:p>
        </w:tc>
      </w:tr>
      <w:tr>
        <w:tc>
          <w:tcPr>
            <w:tcW w:type="dxa" w:w="5181"/>
            <w:vAlign w:val="center"/>
          </w:tcPr>
          <w:p>
            <w:pPr>
              <w:spacing w:after="0" w:before="0"/>
            </w:pPr>
            <w:r>
              <w:rPr>
                <w:rFonts w:ascii="Times New Roman" w:hAnsi="Times New Roman"/>
                <w:sz w:val="14"/>
              </w:rPr>
              <w:t>Exact matches</w:t>
            </w:r>
          </w:p>
        </w:tc>
        <w:tc>
          <w:tcPr>
            <w:tcW w:type="dxa" w:w="5181"/>
            <w:vAlign w:val="center"/>
          </w:tcPr>
          <w:p>
            <w:pPr>
              <w:spacing w:after="0" w:before="0"/>
            </w:pPr>
            <w:r>
              <w:rPr>
                <w:rFonts w:ascii="Times New Roman" w:hAnsi="Times New Roman"/>
                <w:sz w:val="14"/>
              </w:rPr>
              <w:t>19</w:t>
            </w:r>
          </w:p>
        </w:tc>
        <w:tc>
          <w:tcPr>
            <w:tcW w:type="dxa" w:w="5181"/>
            <w:vAlign w:val="center"/>
          </w:tcPr>
          <w:p>
            <w:pPr>
              <w:spacing w:after="0" w:before="0"/>
            </w:pPr>
            <w:r>
              <w:rPr>
                <w:rFonts w:ascii="Times New Roman" w:hAnsi="Times New Roman"/>
                <w:sz w:val="14"/>
              </w:rPr>
            </w:r>
          </w:p>
        </w:tc>
      </w:tr>
      <w:tr>
        <w:tc>
          <w:tcPr>
            <w:tcW w:type="dxa" w:w="5181"/>
            <w:vAlign w:val="center"/>
          </w:tcPr>
          <w:p>
            <w:pPr>
              <w:spacing w:after="0" w:before="0"/>
            </w:pPr>
            <w:r>
              <w:rPr>
                <w:rFonts w:ascii="Times New Roman" w:hAnsi="Times New Roman"/>
                <w:sz w:val="14"/>
              </w:rPr>
              <w:t>Accuracy</w:t>
            </w:r>
          </w:p>
        </w:tc>
        <w:tc>
          <w:tcPr>
            <w:tcW w:type="dxa" w:w="5181"/>
            <w:vAlign w:val="center"/>
          </w:tcPr>
          <w:p>
            <w:pPr>
              <w:spacing w:after="0" w:before="0"/>
            </w:pPr>
            <w:r>
              <w:rPr>
                <w:rFonts w:ascii="Times New Roman" w:hAnsi="Times New Roman"/>
                <w:sz w:val="14"/>
              </w:rPr>
              <w:t>0.5428571428571428</w:t>
            </w:r>
          </w:p>
        </w:tc>
        <w:tc>
          <w:tcPr>
            <w:tcW w:type="dxa" w:w="5181"/>
            <w:vAlign w:val="center"/>
          </w:tcPr>
          <w:p>
            <w:pPr>
              <w:spacing w:after="0" w:before="0"/>
            </w:pPr>
            <w:r>
              <w:rPr>
                <w:rFonts w:ascii="Times New Roman" w:hAnsi="Times New Roman"/>
                <w:sz w:val="14"/>
              </w:rPr>
              <w:t>Provisional diagnostic result</w:t>
            </w:r>
          </w:p>
        </w:tc>
      </w:tr>
      <w:tr>
        <w:tc>
          <w:tcPr>
            <w:tcW w:type="dxa" w:w="5181"/>
            <w:vAlign w:val="center"/>
          </w:tcPr>
          <w:p>
            <w:pPr>
              <w:spacing w:after="0" w:before="0"/>
            </w:pPr>
            <w:r>
              <w:rPr>
                <w:rFonts w:ascii="Times New Roman" w:hAnsi="Times New Roman"/>
                <w:sz w:val="14"/>
              </w:rPr>
              <w:t>Macro-F1 (5 classes)</w:t>
            </w:r>
          </w:p>
        </w:tc>
        <w:tc>
          <w:tcPr>
            <w:tcW w:type="dxa" w:w="5181"/>
            <w:vAlign w:val="center"/>
          </w:tcPr>
          <w:p>
            <w:pPr>
              <w:spacing w:after="0" w:before="0"/>
            </w:pPr>
            <w:r>
              <w:rPr>
                <w:rFonts w:ascii="Times New Roman" w:hAnsi="Times New Roman"/>
                <w:sz w:val="14"/>
              </w:rPr>
              <w:t>0.2655038759689922</w:t>
            </w:r>
          </w:p>
        </w:tc>
        <w:tc>
          <w:tcPr>
            <w:tcW w:type="dxa" w:w="5181"/>
            <w:vAlign w:val="center"/>
          </w:tcPr>
          <w:p>
            <w:pPr>
              <w:spacing w:after="0" w:before="0"/>
            </w:pPr>
            <w:r>
              <w:rPr>
                <w:rFonts w:ascii="Times New Roman" w:hAnsi="Times New Roman"/>
                <w:sz w:val="14"/>
              </w:rPr>
              <w:t>Provisional diagnostic result</w:t>
            </w:r>
          </w:p>
        </w:tc>
      </w:tr>
      <w:tr>
        <w:tc>
          <w:tcPr>
            <w:tcW w:type="dxa" w:w="5181"/>
            <w:vAlign w:val="center"/>
          </w:tcPr>
          <w:p>
            <w:pPr>
              <w:spacing w:after="0" w:before="0"/>
            </w:pPr>
            <w:r>
              <w:rPr>
                <w:rFonts w:ascii="Times New Roman" w:hAnsi="Times New Roman"/>
                <w:sz w:val="14"/>
              </w:rPr>
              <w:t>Unweighted Cohen's Kappa</w:t>
            </w:r>
          </w:p>
        </w:tc>
        <w:tc>
          <w:tcPr>
            <w:tcW w:type="dxa" w:w="5181"/>
            <w:vAlign w:val="center"/>
          </w:tcPr>
          <w:p>
            <w:pPr>
              <w:spacing w:after="0" w:before="0"/>
            </w:pPr>
            <w:r>
              <w:rPr>
                <w:rFonts w:ascii="Times New Roman" w:hAnsi="Times New Roman"/>
                <w:sz w:val="14"/>
              </w:rPr>
              <w:t>0.21237693389592138</w:t>
            </w:r>
          </w:p>
        </w:tc>
        <w:tc>
          <w:tcPr>
            <w:tcW w:type="dxa" w:w="5181"/>
            <w:vAlign w:val="center"/>
          </w:tcPr>
          <w:p>
            <w:pPr>
              <w:spacing w:after="0" w:before="0"/>
            </w:pPr>
            <w:r>
              <w:rPr>
                <w:rFonts w:ascii="Times New Roman" w:hAnsi="Times New Roman"/>
                <w:sz w:val="14"/>
              </w:rPr>
              <w:t>Provisional diagnostic result</w:t>
            </w:r>
          </w:p>
        </w:tc>
      </w:tr>
      <w:tr>
        <w:tc>
          <w:tcPr>
            <w:tcW w:type="dxa" w:w="5181"/>
            <w:vAlign w:val="center"/>
          </w:tcPr>
          <w:p>
            <w:pPr>
              <w:spacing w:after="0" w:before="0"/>
            </w:pPr>
            <w:r>
              <w:rPr>
                <w:rFonts w:ascii="Times New Roman" w:hAnsi="Times New Roman"/>
                <w:sz w:val="14"/>
              </w:rPr>
              <w:t>Linear weighted Kappa</w:t>
            </w:r>
          </w:p>
        </w:tc>
        <w:tc>
          <w:tcPr>
            <w:tcW w:type="dxa" w:w="5181"/>
            <w:vAlign w:val="center"/>
          </w:tcPr>
          <w:p>
            <w:pPr>
              <w:spacing w:after="0" w:before="0"/>
            </w:pPr>
            <w:r>
              <w:rPr>
                <w:rFonts w:ascii="Times New Roman" w:hAnsi="Times New Roman"/>
                <w:sz w:val="14"/>
              </w:rPr>
              <w:t>0.30612244897959184</w:t>
            </w:r>
          </w:p>
        </w:tc>
        <w:tc>
          <w:tcPr>
            <w:tcW w:type="dxa" w:w="5181"/>
            <w:vAlign w:val="center"/>
          </w:tcPr>
          <w:p>
            <w:pPr>
              <w:spacing w:after="0" w:before="0"/>
            </w:pPr>
            <w:r>
              <w:rPr>
                <w:rFonts w:ascii="Times New Roman" w:hAnsi="Times New Roman"/>
                <w:sz w:val="14"/>
              </w:rPr>
              <w:t>Provisional; ordinal classes only</w:t>
            </w:r>
          </w:p>
        </w:tc>
      </w:tr>
    </w:tbl>
    <w:p>
      <w:pPr>
        <w:spacing w:before="120" w:after="60"/>
      </w:pPr>
      <w:r>
        <w:rPr>
          <w:b/>
        </w:rPr>
        <w:t>Supplementary Table S11c. Extended 35-cell diagnostic confusion matrix.</w:t>
      </w:r>
    </w:p>
    <w:tbl>
      <w:tblPr>
        <w:tblW w:type="auto" w:w="0"/>
        <w:jc w:val="center"/>
        <w:tblLook w:firstColumn="1" w:firstRow="1" w:lastColumn="0" w:lastRow="0" w:noHBand="0" w:noVBand="1" w:val="04A0"/>
      </w:tblPr>
      <w:tblGrid>
        <w:gridCol w:w="2590"/>
        <w:gridCol w:w="2590"/>
        <w:gridCol w:w="2590"/>
        <w:gridCol w:w="2590"/>
        <w:gridCol w:w="2590"/>
        <w:gridCol w:w="2590"/>
      </w:tblGrid>
      <w:tr>
        <w:trPr>
          <w:tblHeader w:val="true"/>
        </w:trPr>
        <w:tc>
          <w:tcPr>
            <w:tcW w:type="dxa" w:w="2590"/>
            <w:vAlign w:val="center"/>
          </w:tcPr>
          <w:p>
            <w:pPr>
              <w:spacing w:after="0" w:before="0"/>
            </w:pPr>
            <w:r>
              <w:rPr>
                <w:rFonts w:ascii="Times New Roman" w:hAnsi="Times New Roman"/>
                <w:sz w:val="14"/>
              </w:rPr>
              <w:t>Human \ System</w:t>
            </w:r>
          </w:p>
        </w:tc>
        <w:tc>
          <w:tcPr>
            <w:tcW w:type="dxa" w:w="2590"/>
            <w:vAlign w:val="center"/>
          </w:tcPr>
          <w:p>
            <w:pPr>
              <w:spacing w:after="0" w:before="0"/>
            </w:pPr>
            <w:r>
              <w:rPr>
                <w:rFonts w:ascii="Times New Roman" w:hAnsi="Times New Roman"/>
                <w:sz w:val="14"/>
              </w:rPr>
              <w:t>Aligned</w:t>
            </w:r>
          </w:p>
        </w:tc>
        <w:tc>
          <w:tcPr>
            <w:tcW w:type="dxa" w:w="2590"/>
            <w:vAlign w:val="center"/>
          </w:tcPr>
          <w:p>
            <w:pPr>
              <w:spacing w:after="0" w:before="0"/>
            </w:pPr>
            <w:r>
              <w:rPr>
                <w:rFonts w:ascii="Times New Roman" w:hAnsi="Times New Roman"/>
                <w:sz w:val="14"/>
              </w:rPr>
              <w:t>Significant</w:t>
            </w:r>
          </w:p>
        </w:tc>
        <w:tc>
          <w:tcPr>
            <w:tcW w:type="dxa" w:w="2590"/>
            <w:vAlign w:val="center"/>
          </w:tcPr>
          <w:p>
            <w:pPr>
              <w:spacing w:after="0" w:before="0"/>
            </w:pPr>
            <w:r>
              <w:rPr>
                <w:rFonts w:ascii="Times New Roman" w:hAnsi="Times New Roman"/>
                <w:sz w:val="14"/>
              </w:rPr>
              <w:t>Critical</w:t>
            </w:r>
          </w:p>
        </w:tc>
        <w:tc>
          <w:tcPr>
            <w:tcW w:type="dxa" w:w="2590"/>
            <w:vAlign w:val="center"/>
          </w:tcPr>
          <w:p>
            <w:pPr>
              <w:spacing w:after="0" w:before="0"/>
            </w:pPr>
            <w:r>
              <w:rPr>
                <w:rFonts w:ascii="Times New Roman" w:hAnsi="Times New Roman"/>
                <w:sz w:val="14"/>
              </w:rPr>
              <w:t>Absent</w:t>
            </w:r>
          </w:p>
        </w:tc>
        <w:tc>
          <w:tcPr>
            <w:tcW w:type="dxa" w:w="2590"/>
            <w:vAlign w:val="center"/>
          </w:tcPr>
          <w:p>
            <w:pPr>
              <w:spacing w:after="0" w:before="0"/>
            </w:pPr>
            <w:r>
              <w:rPr>
                <w:rFonts w:ascii="Times New Roman" w:hAnsi="Times New Roman"/>
                <w:sz w:val="14"/>
              </w:rPr>
              <w:t>Not Comparable</w:t>
            </w:r>
          </w:p>
        </w:tc>
      </w:tr>
      <w:tr>
        <w:tc>
          <w:tcPr>
            <w:tcW w:type="dxa" w:w="2590"/>
            <w:vAlign w:val="center"/>
          </w:tcPr>
          <w:p>
            <w:pPr>
              <w:spacing w:after="0" w:before="0"/>
            </w:pPr>
            <w:r>
              <w:rPr>
                <w:rFonts w:ascii="Times New Roman" w:hAnsi="Times New Roman"/>
                <w:sz w:val="14"/>
              </w:rPr>
              <w:t>Aligned</w:t>
            </w:r>
          </w:p>
        </w:tc>
        <w:tc>
          <w:tcPr>
            <w:tcW w:type="dxa" w:w="2590"/>
            <w:vAlign w:val="center"/>
          </w:tcPr>
          <w:p>
            <w:pPr>
              <w:spacing w:after="0" w:before="0"/>
            </w:pPr>
            <w:r>
              <w:rPr>
                <w:rFonts w:ascii="Times New Roman" w:hAnsi="Times New Roman"/>
                <w:sz w:val="14"/>
              </w:rPr>
              <w:t>0</w:t>
            </w:r>
          </w:p>
        </w:tc>
        <w:tc>
          <w:tcPr>
            <w:tcW w:type="dxa" w:w="2590"/>
            <w:vAlign w:val="center"/>
          </w:tcPr>
          <w:p>
            <w:pPr>
              <w:spacing w:after="0" w:before="0"/>
            </w:pPr>
            <w:r>
              <w:rPr>
                <w:rFonts w:ascii="Times New Roman" w:hAnsi="Times New Roman"/>
                <w:sz w:val="14"/>
              </w:rPr>
              <w:t>0</w:t>
            </w:r>
          </w:p>
        </w:tc>
        <w:tc>
          <w:tcPr>
            <w:tcW w:type="dxa" w:w="2590"/>
            <w:vAlign w:val="center"/>
          </w:tcPr>
          <w:p>
            <w:pPr>
              <w:spacing w:after="0" w:before="0"/>
            </w:pPr>
            <w:r>
              <w:rPr>
                <w:rFonts w:ascii="Times New Roman" w:hAnsi="Times New Roman"/>
                <w:sz w:val="14"/>
              </w:rPr>
              <w:t>0</w:t>
            </w:r>
          </w:p>
        </w:tc>
        <w:tc>
          <w:tcPr>
            <w:tcW w:type="dxa" w:w="2590"/>
            <w:vAlign w:val="center"/>
          </w:tcPr>
          <w:p>
            <w:pPr>
              <w:spacing w:after="0" w:before="0"/>
            </w:pPr>
            <w:r>
              <w:rPr>
                <w:rFonts w:ascii="Times New Roman" w:hAnsi="Times New Roman"/>
                <w:sz w:val="14"/>
              </w:rPr>
              <w:t>0</w:t>
            </w:r>
          </w:p>
        </w:tc>
        <w:tc>
          <w:tcPr>
            <w:tcW w:type="dxa" w:w="2590"/>
            <w:vAlign w:val="center"/>
          </w:tcPr>
          <w:p>
            <w:pPr>
              <w:spacing w:after="0" w:before="0"/>
            </w:pPr>
            <w:r>
              <w:rPr>
                <w:rFonts w:ascii="Times New Roman" w:hAnsi="Times New Roman"/>
                <w:sz w:val="14"/>
              </w:rPr>
              <w:t>0</w:t>
            </w:r>
          </w:p>
        </w:tc>
      </w:tr>
      <w:tr>
        <w:tc>
          <w:tcPr>
            <w:tcW w:type="dxa" w:w="2590"/>
            <w:vAlign w:val="center"/>
          </w:tcPr>
          <w:p>
            <w:pPr>
              <w:spacing w:after="0" w:before="0"/>
            </w:pPr>
            <w:r>
              <w:rPr>
                <w:rFonts w:ascii="Times New Roman" w:hAnsi="Times New Roman"/>
                <w:sz w:val="14"/>
              </w:rPr>
              <w:t>Significant</w:t>
            </w:r>
          </w:p>
        </w:tc>
        <w:tc>
          <w:tcPr>
            <w:tcW w:type="dxa" w:w="2590"/>
            <w:vAlign w:val="center"/>
          </w:tcPr>
          <w:p>
            <w:pPr>
              <w:spacing w:after="0" w:before="0"/>
            </w:pPr>
            <w:r>
              <w:rPr>
                <w:rFonts w:ascii="Times New Roman" w:hAnsi="Times New Roman"/>
                <w:sz w:val="14"/>
              </w:rPr>
              <w:t>3</w:t>
            </w:r>
          </w:p>
        </w:tc>
        <w:tc>
          <w:tcPr>
            <w:tcW w:type="dxa" w:w="2590"/>
            <w:vAlign w:val="center"/>
          </w:tcPr>
          <w:p>
            <w:pPr>
              <w:spacing w:after="0" w:before="0"/>
            </w:pPr>
            <w:r>
              <w:rPr>
                <w:rFonts w:ascii="Times New Roman" w:hAnsi="Times New Roman"/>
                <w:sz w:val="14"/>
              </w:rPr>
              <w:t>16</w:t>
            </w:r>
          </w:p>
        </w:tc>
        <w:tc>
          <w:tcPr>
            <w:tcW w:type="dxa" w:w="2590"/>
            <w:vAlign w:val="center"/>
          </w:tcPr>
          <w:p>
            <w:pPr>
              <w:spacing w:after="0" w:before="0"/>
            </w:pPr>
            <w:r>
              <w:rPr>
                <w:rFonts w:ascii="Times New Roman" w:hAnsi="Times New Roman"/>
                <w:sz w:val="14"/>
              </w:rPr>
              <w:t>1</w:t>
            </w:r>
          </w:p>
        </w:tc>
        <w:tc>
          <w:tcPr>
            <w:tcW w:type="dxa" w:w="2590"/>
            <w:vAlign w:val="center"/>
          </w:tcPr>
          <w:p>
            <w:pPr>
              <w:spacing w:after="0" w:before="0"/>
            </w:pPr>
            <w:r>
              <w:rPr>
                <w:rFonts w:ascii="Times New Roman" w:hAnsi="Times New Roman"/>
                <w:sz w:val="14"/>
              </w:rPr>
              <w:t>2</w:t>
            </w:r>
          </w:p>
        </w:tc>
        <w:tc>
          <w:tcPr>
            <w:tcW w:type="dxa" w:w="2590"/>
            <w:vAlign w:val="center"/>
          </w:tcPr>
          <w:p>
            <w:pPr>
              <w:spacing w:after="0" w:before="0"/>
            </w:pPr>
            <w:r>
              <w:rPr>
                <w:rFonts w:ascii="Times New Roman" w:hAnsi="Times New Roman"/>
                <w:sz w:val="14"/>
              </w:rPr>
              <w:t>0</w:t>
            </w:r>
          </w:p>
        </w:tc>
      </w:tr>
      <w:tr>
        <w:tc>
          <w:tcPr>
            <w:tcW w:type="dxa" w:w="2590"/>
            <w:vAlign w:val="center"/>
          </w:tcPr>
          <w:p>
            <w:pPr>
              <w:spacing w:after="0" w:before="0"/>
            </w:pPr>
            <w:r>
              <w:rPr>
                <w:rFonts w:ascii="Times New Roman" w:hAnsi="Times New Roman"/>
                <w:sz w:val="14"/>
              </w:rPr>
              <w:t>Critical</w:t>
            </w:r>
          </w:p>
        </w:tc>
        <w:tc>
          <w:tcPr>
            <w:tcW w:type="dxa" w:w="2590"/>
            <w:vAlign w:val="center"/>
          </w:tcPr>
          <w:p>
            <w:pPr>
              <w:spacing w:after="0" w:before="0"/>
            </w:pPr>
            <w:r>
              <w:rPr>
                <w:rFonts w:ascii="Times New Roman" w:hAnsi="Times New Roman"/>
                <w:sz w:val="14"/>
              </w:rPr>
              <w:t>0</w:t>
            </w:r>
          </w:p>
        </w:tc>
        <w:tc>
          <w:tcPr>
            <w:tcW w:type="dxa" w:w="2590"/>
            <w:vAlign w:val="center"/>
          </w:tcPr>
          <w:p>
            <w:pPr>
              <w:spacing w:after="0" w:before="0"/>
            </w:pPr>
            <w:r>
              <w:rPr>
                <w:rFonts w:ascii="Times New Roman" w:hAnsi="Times New Roman"/>
                <w:sz w:val="14"/>
              </w:rPr>
              <w:t>3</w:t>
            </w:r>
          </w:p>
        </w:tc>
        <w:tc>
          <w:tcPr>
            <w:tcW w:type="dxa" w:w="2590"/>
            <w:vAlign w:val="center"/>
          </w:tcPr>
          <w:p>
            <w:pPr>
              <w:spacing w:after="0" w:before="0"/>
            </w:pPr>
            <w:r>
              <w:rPr>
                <w:rFonts w:ascii="Times New Roman" w:hAnsi="Times New Roman"/>
                <w:sz w:val="14"/>
              </w:rPr>
              <w:t>1</w:t>
            </w:r>
          </w:p>
        </w:tc>
        <w:tc>
          <w:tcPr>
            <w:tcW w:type="dxa" w:w="2590"/>
            <w:vAlign w:val="center"/>
          </w:tcPr>
          <w:p>
            <w:pPr>
              <w:spacing w:after="0" w:before="0"/>
            </w:pPr>
            <w:r>
              <w:rPr>
                <w:rFonts w:ascii="Times New Roman" w:hAnsi="Times New Roman"/>
                <w:sz w:val="14"/>
              </w:rPr>
              <w:t>0</w:t>
            </w:r>
          </w:p>
        </w:tc>
        <w:tc>
          <w:tcPr>
            <w:tcW w:type="dxa" w:w="2590"/>
            <w:vAlign w:val="center"/>
          </w:tcPr>
          <w:p>
            <w:pPr>
              <w:spacing w:after="0" w:before="0"/>
            </w:pPr>
            <w:r>
              <w:rPr>
                <w:rFonts w:ascii="Times New Roman" w:hAnsi="Times New Roman"/>
                <w:sz w:val="14"/>
              </w:rPr>
              <w:t>0</w:t>
            </w:r>
          </w:p>
        </w:tc>
      </w:tr>
      <w:tr>
        <w:tc>
          <w:tcPr>
            <w:tcW w:type="dxa" w:w="2590"/>
            <w:vAlign w:val="center"/>
          </w:tcPr>
          <w:p>
            <w:pPr>
              <w:spacing w:after="0" w:before="0"/>
            </w:pPr>
            <w:r>
              <w:rPr>
                <w:rFonts w:ascii="Times New Roman" w:hAnsi="Times New Roman"/>
                <w:sz w:val="14"/>
              </w:rPr>
              <w:t>Absent</w:t>
            </w:r>
          </w:p>
        </w:tc>
        <w:tc>
          <w:tcPr>
            <w:tcW w:type="dxa" w:w="2590"/>
            <w:vAlign w:val="center"/>
          </w:tcPr>
          <w:p>
            <w:pPr>
              <w:spacing w:after="0" w:before="0"/>
            </w:pPr>
            <w:r>
              <w:rPr>
                <w:rFonts w:ascii="Times New Roman" w:hAnsi="Times New Roman"/>
                <w:sz w:val="14"/>
              </w:rPr>
              <w:t>0</w:t>
            </w:r>
          </w:p>
        </w:tc>
        <w:tc>
          <w:tcPr>
            <w:tcW w:type="dxa" w:w="2590"/>
            <w:vAlign w:val="center"/>
          </w:tcPr>
          <w:p>
            <w:pPr>
              <w:spacing w:after="0" w:before="0"/>
            </w:pPr>
            <w:r>
              <w:rPr>
                <w:rFonts w:ascii="Times New Roman" w:hAnsi="Times New Roman"/>
                <w:sz w:val="14"/>
              </w:rPr>
              <w:t>2</w:t>
            </w:r>
          </w:p>
        </w:tc>
        <w:tc>
          <w:tcPr>
            <w:tcW w:type="dxa" w:w="2590"/>
            <w:vAlign w:val="center"/>
          </w:tcPr>
          <w:p>
            <w:pPr>
              <w:spacing w:after="0" w:before="0"/>
            </w:pPr>
            <w:r>
              <w:rPr>
                <w:rFonts w:ascii="Times New Roman" w:hAnsi="Times New Roman"/>
                <w:sz w:val="14"/>
              </w:rPr>
              <w:t>2</w:t>
            </w:r>
          </w:p>
        </w:tc>
        <w:tc>
          <w:tcPr>
            <w:tcW w:type="dxa" w:w="2590"/>
            <w:vAlign w:val="center"/>
          </w:tcPr>
          <w:p>
            <w:pPr>
              <w:spacing w:after="0" w:before="0"/>
            </w:pPr>
            <w:r>
              <w:rPr>
                <w:rFonts w:ascii="Times New Roman" w:hAnsi="Times New Roman"/>
                <w:sz w:val="14"/>
              </w:rPr>
              <w:t>2</w:t>
            </w:r>
          </w:p>
        </w:tc>
        <w:tc>
          <w:tcPr>
            <w:tcW w:type="dxa" w:w="2590"/>
            <w:vAlign w:val="center"/>
          </w:tcPr>
          <w:p>
            <w:pPr>
              <w:spacing w:after="0" w:before="0"/>
            </w:pPr>
            <w:r>
              <w:rPr>
                <w:rFonts w:ascii="Times New Roman" w:hAnsi="Times New Roman"/>
                <w:sz w:val="14"/>
              </w:rPr>
              <w:t>0</w:t>
            </w:r>
          </w:p>
        </w:tc>
      </w:tr>
      <w:tr>
        <w:tc>
          <w:tcPr>
            <w:tcW w:type="dxa" w:w="2590"/>
            <w:vAlign w:val="center"/>
          </w:tcPr>
          <w:p>
            <w:pPr>
              <w:spacing w:after="0" w:before="0"/>
            </w:pPr>
            <w:r>
              <w:rPr>
                <w:rFonts w:ascii="Times New Roman" w:hAnsi="Times New Roman"/>
                <w:sz w:val="14"/>
              </w:rPr>
              <w:t>Not Comparable</w:t>
            </w:r>
          </w:p>
        </w:tc>
        <w:tc>
          <w:tcPr>
            <w:tcW w:type="dxa" w:w="2590"/>
            <w:vAlign w:val="center"/>
          </w:tcPr>
          <w:p>
            <w:pPr>
              <w:spacing w:after="0" w:before="0"/>
            </w:pPr>
            <w:r>
              <w:rPr>
                <w:rFonts w:ascii="Times New Roman" w:hAnsi="Times New Roman"/>
                <w:sz w:val="14"/>
              </w:rPr>
              <w:t>1</w:t>
            </w:r>
          </w:p>
        </w:tc>
        <w:tc>
          <w:tcPr>
            <w:tcW w:type="dxa" w:w="2590"/>
            <w:vAlign w:val="center"/>
          </w:tcPr>
          <w:p>
            <w:pPr>
              <w:spacing w:after="0" w:before="0"/>
            </w:pPr>
            <w:r>
              <w:rPr>
                <w:rFonts w:ascii="Times New Roman" w:hAnsi="Times New Roman"/>
                <w:sz w:val="14"/>
              </w:rPr>
              <w:t>0</w:t>
            </w:r>
          </w:p>
        </w:tc>
        <w:tc>
          <w:tcPr>
            <w:tcW w:type="dxa" w:w="2590"/>
            <w:vAlign w:val="center"/>
          </w:tcPr>
          <w:p>
            <w:pPr>
              <w:spacing w:after="0" w:before="0"/>
            </w:pPr>
            <w:r>
              <w:rPr>
                <w:rFonts w:ascii="Times New Roman" w:hAnsi="Times New Roman"/>
                <w:sz w:val="14"/>
              </w:rPr>
              <w:t>0</w:t>
            </w:r>
          </w:p>
        </w:tc>
        <w:tc>
          <w:tcPr>
            <w:tcW w:type="dxa" w:w="2590"/>
            <w:vAlign w:val="center"/>
          </w:tcPr>
          <w:p>
            <w:pPr>
              <w:spacing w:after="0" w:before="0"/>
            </w:pPr>
            <w:r>
              <w:rPr>
                <w:rFonts w:ascii="Times New Roman" w:hAnsi="Times New Roman"/>
                <w:sz w:val="14"/>
              </w:rPr>
              <w:t>2</w:t>
            </w:r>
          </w:p>
        </w:tc>
        <w:tc>
          <w:tcPr>
            <w:tcW w:type="dxa" w:w="2590"/>
            <w:vAlign w:val="center"/>
          </w:tcPr>
          <w:p>
            <w:pPr>
              <w:spacing w:after="0" w:before="0"/>
            </w:pPr>
            <w:r>
              <w:rPr>
                <w:rFonts w:ascii="Times New Roman" w:hAnsi="Times New Roman"/>
                <w:sz w:val="14"/>
              </w:rPr>
              <w:t>0</w:t>
            </w:r>
          </w:p>
        </w:tc>
      </w:tr>
    </w:tbl>
    <w:p>
      <w:r>
        <w:t>The 35-cell results are diagnostic only because 27 rows use post-cut-off evidence. They are not used in the main manuscript's formal classifier metrics.</w:t>
      </w:r>
    </w:p>
    <w:p>
      <w:pPr>
        <w:pStyle w:val="Heading1"/>
      </w:pPr>
      <w:r>
        <w:t>S12. Category-Level Answer-Quality Results</w:t>
      </w:r>
    </w:p>
    <w:p>
      <w:pPr>
        <w:spacing w:before="120" w:after="60"/>
      </w:pPr>
      <w:r>
        <w:rPr>
          <w:b/>
        </w:rPr>
        <w:t>Supplementary Table S12. Per-category GPT-4o+RAG evaluation results.</w:t>
      </w:r>
    </w:p>
    <w:tbl>
      <w:tblPr>
        <w:tblW w:w="79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400"/>
        <w:gridCol w:w="1800"/>
        <w:gridCol w:w="1920"/>
        <w:gridCol w:w="1800"/>
      </w:tblGrid>
      <w:tr w:rsidR="000A3FB3" w14:paraId="5ECEF00D" w14:textId="77777777">
        <w:trPr>
          <w:cantSplit/>
          <w:tblHeader/>
          <w:tblHeader w:val="true"/>
        </w:trPr>
        <w:tc>
          <w:tcPr>
            <w:tcW w:w="24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28D721CE" w14:textId="77777777" w:rsidR="000A3FB3" w:rsidRDefault="00000000" w:rsidP="00786156">
            <w:pPr>
              <w:spacing w:before="0" w:after="0"/>
              <w:jc w:val="both"/>
            </w:pPr>
            <w:r>
              <w:rPr>
                <w:rFonts w:ascii="Times New Roman" w:hAnsi="Times New Roman"/>
                <w:b/>
                <w:bCs/>
                <w:color w:val="000000"/>
                <w:sz w:val="15"/>
                <w:szCs w:val="20"/>
              </w:rPr>
              <w:t>Category</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6038B5AC" w14:textId="77777777" w:rsidR="000A3FB3" w:rsidRDefault="00000000" w:rsidP="00786156">
            <w:pPr>
              <w:spacing w:before="0" w:after="0"/>
              <w:jc w:val="both"/>
            </w:pPr>
            <w:r>
              <w:rPr>
                <w:rFonts w:ascii="Times New Roman" w:hAnsi="Times New Roman"/>
                <w:b/>
                <w:bCs/>
                <w:color w:val="000000"/>
                <w:sz w:val="15"/>
                <w:szCs w:val="20"/>
              </w:rPr>
              <w:t>ROUGE-1 F1</w:t>
            </w:r>
          </w:p>
        </w:tc>
        <w:tc>
          <w:tcPr>
            <w:tcW w:w="192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7A9E7F84" w14:textId="77777777" w:rsidR="000A3FB3" w:rsidRDefault="00000000" w:rsidP="00786156">
            <w:pPr>
              <w:spacing w:before="0" w:after="0"/>
              <w:jc w:val="both"/>
            </w:pPr>
            <w:r>
              <w:rPr>
                <w:rFonts w:ascii="Times New Roman" w:hAnsi="Times New Roman"/>
                <w:b/>
                <w:bCs/>
                <w:color w:val="000000"/>
                <w:sz w:val="15"/>
                <w:szCs w:val="20"/>
              </w:rPr>
              <w:t xml:space="preserve">BERTScore F1</w:t>
            </w:r>
          </w:p>
        </w:tc>
        <w:tc>
          <w:tcPr>
            <w:tcW w:w="1800" w:type="dxa"/>
            <w:tcBorders>
              <w:top w:val="single" w:sz="4" w:space="0" w:color="AAAAAA"/>
              <w:left w:val="single" w:sz="4" w:space="0" w:color="AAAAAA"/>
              <w:bottom w:val="single" w:sz="4" w:space="0" w:color="AAAAAA"/>
              <w:right w:val="single" w:sz="4" w:space="0" w:color="AAAAAA"/>
            </w:tcBorders>
            <w:shd w:val="clear" w:color="auto" w:fill="D6E4F0"/>
            <w:tcMar>
              <w:top w:w="72" w:type="dxa"/>
              <w:left w:w="100" w:type="dxa"/>
              <w:bottom w:w="72" w:type="dxa"/>
              <w:right w:w="100" w:type="dxa"/>
            </w:tcMar>
            <w:vAlign w:val="center"/>
          </w:tcPr>
          <w:p w14:paraId="2D8EEAB5" w14:textId="77777777" w:rsidR="000A3FB3" w:rsidRDefault="00000000" w:rsidP="00786156">
            <w:pPr>
              <w:spacing w:before="0" w:after="0"/>
              <w:jc w:val="both"/>
            </w:pPr>
            <w:r>
              <w:rPr>
                <w:rFonts w:ascii="Times New Roman" w:hAnsi="Times New Roman"/>
                <w:b/>
                <w:bCs/>
                <w:color w:val="000000"/>
                <w:sz w:val="15"/>
                <w:szCs w:val="20"/>
              </w:rPr>
              <w:t>Answer Rel.</w:t>
            </w:r>
          </w:p>
        </w:tc>
      </w:tr>
      <w:tr w:rsidR="000A3FB3" w14:paraId="2F9000E0"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43DC1BCF" w14:textId="77777777" w:rsidR="000A3FB3" w:rsidRDefault="00000000" w:rsidP="00786156">
            <w:pPr>
              <w:spacing w:before="0" w:after="0"/>
              <w:jc w:val="both"/>
            </w:pPr>
            <w:r>
              <w:rPr>
                <w:rFonts w:ascii="Times New Roman" w:hAnsi="Times New Roman"/>
                <w:color w:val="000000"/>
                <w:sz w:val="15"/>
                <w:szCs w:val="20"/>
              </w:rPr>
              <w:t>Factual (n=30)</w:t>
            </w:r>
          </w:p>
        </w:tc>
        <w:tc>
          <w:tcPr>
            <w:tcW w:w="18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E239C0E" w14:textId="77777777" w:rsidR="000A3FB3" w:rsidRDefault="00000000" w:rsidP="00786156">
            <w:pPr>
              <w:spacing w:before="0" w:after="0"/>
              <w:jc w:val="both"/>
            </w:pPr>
            <w:r>
              <w:rPr>
                <w:rFonts w:ascii="Times New Roman" w:hAnsi="Times New Roman"/>
                <w:color w:val="000000"/>
                <w:sz w:val="15"/>
                <w:szCs w:val="20"/>
              </w:rPr>
              <w:t>0.3302</w:t>
            </w:r>
          </w:p>
        </w:tc>
        <w:tc>
          <w:tcPr>
            <w:tcW w:w="192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6726A657" w14:textId="77777777" w:rsidR="000A3FB3" w:rsidRDefault="00000000" w:rsidP="00786156">
            <w:pPr>
              <w:spacing w:before="0" w:after="0"/>
              <w:jc w:val="both"/>
            </w:pPr>
            <w:r>
              <w:rPr>
                <w:rFonts w:ascii="Times New Roman" w:hAnsi="Times New Roman"/>
                <w:color w:val="000000"/>
                <w:sz w:val="15"/>
                <w:szCs w:val="20"/>
              </w:rPr>
              <w:t>0.7836</w:t>
            </w:r>
          </w:p>
        </w:tc>
        <w:tc>
          <w:tcPr>
            <w:tcW w:w="18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0C84F1E" w14:textId="77777777" w:rsidR="000A3FB3" w:rsidRDefault="00000000" w:rsidP="00786156">
            <w:pPr>
              <w:spacing w:before="0" w:after="0"/>
              <w:jc w:val="both"/>
            </w:pPr>
            <w:r>
              <w:rPr>
                <w:rFonts w:ascii="Times New Roman" w:hAnsi="Times New Roman"/>
                <w:color w:val="000000"/>
                <w:sz w:val="15"/>
                <w:szCs w:val="20"/>
              </w:rPr>
              <w:t>0.7008</w:t>
            </w:r>
          </w:p>
        </w:tc>
      </w:tr>
      <w:tr w:rsidR="000A3FB3" w14:paraId="23DFB9B2" w14:textId="77777777">
        <w:trPr>
          <w:cantSplit/>
        </w:trPr>
        <w:tc>
          <w:tcPr>
            <w:tcW w:w="24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427E5616" w14:textId="77777777" w:rsidR="000A3FB3" w:rsidRDefault="00000000" w:rsidP="00786156">
            <w:pPr>
              <w:spacing w:before="0" w:after="0"/>
              <w:jc w:val="both"/>
            </w:pPr>
            <w:r>
              <w:rPr>
                <w:rFonts w:ascii="Times New Roman" w:hAnsi="Times New Roman"/>
                <w:color w:val="000000"/>
                <w:sz w:val="15"/>
                <w:szCs w:val="20"/>
              </w:rPr>
              <w:t>Comparative (n=25)</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03B95320" w14:textId="77777777" w:rsidR="000A3FB3" w:rsidRDefault="00000000" w:rsidP="00786156">
            <w:pPr>
              <w:spacing w:before="0" w:after="0"/>
              <w:jc w:val="both"/>
            </w:pPr>
            <w:r>
              <w:rPr>
                <w:rFonts w:ascii="Times New Roman" w:hAnsi="Times New Roman"/>
                <w:color w:val="000000"/>
                <w:sz w:val="15"/>
                <w:szCs w:val="20"/>
              </w:rPr>
              <w:t>0.2498</w:t>
            </w:r>
          </w:p>
        </w:tc>
        <w:tc>
          <w:tcPr>
            <w:tcW w:w="192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77B6B0E3" w14:textId="77777777" w:rsidR="000A3FB3" w:rsidRDefault="00000000" w:rsidP="00786156">
            <w:pPr>
              <w:spacing w:before="0" w:after="0"/>
              <w:jc w:val="both"/>
            </w:pPr>
            <w:r>
              <w:rPr>
                <w:rFonts w:ascii="Times New Roman" w:hAnsi="Times New Roman"/>
                <w:color w:val="000000"/>
                <w:sz w:val="15"/>
                <w:szCs w:val="20"/>
              </w:rPr>
              <w:t>0.7805</w:t>
            </w:r>
          </w:p>
        </w:tc>
        <w:tc>
          <w:tcPr>
            <w:tcW w:w="1800" w:type="dxa"/>
            <w:tcBorders>
              <w:top w:val="single" w:sz="4" w:space="0" w:color="AAAAAA"/>
              <w:left w:val="single" w:sz="4" w:space="0" w:color="AAAAAA"/>
              <w:bottom w:val="single" w:sz="4" w:space="0" w:color="AAAAAA"/>
              <w:right w:val="single" w:sz="4" w:space="0" w:color="AAAAAA"/>
            </w:tcBorders>
            <w:shd w:val="clear" w:color="auto" w:fill="F2F2F2"/>
            <w:tcMar>
              <w:top w:w="72" w:type="dxa"/>
              <w:left w:w="100" w:type="dxa"/>
              <w:bottom w:w="72" w:type="dxa"/>
              <w:right w:w="100" w:type="dxa"/>
            </w:tcMar>
            <w:vAlign w:val="center"/>
          </w:tcPr>
          <w:p w14:paraId="36ACF27F" w14:textId="77777777" w:rsidR="000A3FB3" w:rsidRDefault="00000000" w:rsidP="00786156">
            <w:pPr>
              <w:spacing w:before="0" w:after="0"/>
              <w:jc w:val="both"/>
            </w:pPr>
            <w:r>
              <w:rPr>
                <w:rFonts w:ascii="Times New Roman" w:hAnsi="Times New Roman"/>
                <w:color w:val="000000"/>
                <w:sz w:val="15"/>
                <w:szCs w:val="20"/>
              </w:rPr>
              <w:t>0.3559</w:t>
            </w:r>
          </w:p>
        </w:tc>
      </w:tr>
      <w:tr w:rsidR="000A3FB3" w14:paraId="09CB9E48" w14:textId="77777777">
        <w:trPr>
          <w:cantSplit/>
        </w:trPr>
        <w:tc>
          <w:tcPr>
            <w:tcW w:w="24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58E3A70C" w14:textId="77777777" w:rsidR="000A3FB3" w:rsidRDefault="00000000" w:rsidP="00786156">
            <w:pPr>
              <w:spacing w:before="0" w:after="0"/>
              <w:jc w:val="both"/>
            </w:pPr>
            <w:r>
              <w:rPr>
                <w:rFonts w:ascii="Times New Roman" w:hAnsi="Times New Roman"/>
                <w:color w:val="000000"/>
                <w:sz w:val="15"/>
                <w:szCs w:val="20"/>
              </w:rPr>
              <w:t>Gap Detection (n=25)</w:t>
            </w:r>
          </w:p>
        </w:tc>
        <w:tc>
          <w:tcPr>
            <w:tcW w:w="18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308C58D8" w14:textId="77777777" w:rsidR="000A3FB3" w:rsidRDefault="00000000" w:rsidP="00786156">
            <w:pPr>
              <w:spacing w:before="0" w:after="0"/>
              <w:jc w:val="both"/>
            </w:pPr>
            <w:r>
              <w:rPr>
                <w:rFonts w:ascii="Times New Roman" w:hAnsi="Times New Roman"/>
                <w:color w:val="000000"/>
                <w:sz w:val="15"/>
                <w:szCs w:val="20"/>
              </w:rPr>
              <w:t>0.2497</w:t>
            </w:r>
          </w:p>
        </w:tc>
        <w:tc>
          <w:tcPr>
            <w:tcW w:w="192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3391603" w14:textId="77777777" w:rsidR="000A3FB3" w:rsidRDefault="00000000" w:rsidP="00786156">
            <w:pPr>
              <w:spacing w:before="0" w:after="0"/>
              <w:jc w:val="both"/>
            </w:pPr>
            <w:r>
              <w:rPr>
                <w:rFonts w:ascii="Times New Roman" w:hAnsi="Times New Roman"/>
                <w:color w:val="000000"/>
                <w:sz w:val="15"/>
                <w:szCs w:val="20"/>
              </w:rPr>
              <w:t>0.7726</w:t>
            </w:r>
          </w:p>
        </w:tc>
        <w:tc>
          <w:tcPr>
            <w:tcW w:w="1800" w:type="dxa"/>
            <w:tcBorders>
              <w:top w:val="single" w:sz="4" w:space="0" w:color="AAAAAA"/>
              <w:left w:val="single" w:sz="4" w:space="0" w:color="AAAAAA"/>
              <w:bottom w:val="single" w:sz="4" w:space="0" w:color="AAAAAA"/>
              <w:right w:val="single" w:sz="4" w:space="0" w:color="AAAAAA"/>
            </w:tcBorders>
            <w:tcMar>
              <w:top w:w="72" w:type="dxa"/>
              <w:left w:w="100" w:type="dxa"/>
              <w:bottom w:w="72" w:type="dxa"/>
              <w:right w:w="100" w:type="dxa"/>
            </w:tcMar>
            <w:vAlign w:val="center"/>
          </w:tcPr>
          <w:p w14:paraId="100E25C5" w14:textId="77777777" w:rsidR="000A3FB3" w:rsidRDefault="00000000" w:rsidP="00786156">
            <w:pPr>
              <w:spacing w:before="0" w:after="0"/>
              <w:jc w:val="both"/>
            </w:pPr>
            <w:r>
              <w:rPr>
                <w:rFonts w:ascii="Times New Roman" w:hAnsi="Times New Roman"/>
                <w:color w:val="000000"/>
                <w:sz w:val="15"/>
                <w:szCs w:val="20"/>
              </w:rPr>
              <w:t>0.0729</w:t>
            </w:r>
          </w:p>
        </w:tc>
      </w:tr>
    </w:tbl>
    <w:p>
      <w:pPr>
        <w:pStyle w:val="Heading1"/>
      </w:pPr>
      <w:r>
        <w:t>S13. Full 119-Cell Numerical Screening Matrix</w:t>
      </w:r>
    </w:p>
    <w:p>
      <w:r>
        <w:t>D1-D5 and D7 retain the original candidate system values. D6 shows the post-hoc source-audited reporting values. The original automated D6 column is preserved in Archive S1.</w:t>
      </w:r>
    </w:p>
    <w:p>
      <w:pPr>
        <w:pStyle w:val="FigureCaption"/>
        <w:spacing w:before="120" w:after="60"/>
      </w:pPr>
      <w:r>
        <w:rPr>
          <w:b/>
        </w:rPr>
        <w:t>Supplementary Table S13. Full numerical matrix used for reporting Figure 2.</w:t>
      </w:r>
    </w:p>
    <w:tbl>
      <w:tblPr>
        <w:tblW w:type="auto" w:w="0"/>
        <w:jc w:val="center"/>
        <w:tblLook w:firstColumn="1" w:firstRow="1" w:lastColumn="0" w:lastRow="0" w:noHBand="0" w:noVBand="1" w:val="04A0"/>
      </w:tblPr>
      <w:tblGrid>
        <w:gridCol w:w="1943"/>
        <w:gridCol w:w="1943"/>
        <w:gridCol w:w="1943"/>
        <w:gridCol w:w="1943"/>
        <w:gridCol w:w="1943"/>
        <w:gridCol w:w="1943"/>
        <w:gridCol w:w="1943"/>
        <w:gridCol w:w="1943"/>
      </w:tblGrid>
      <w:tr>
        <w:trPr>
          <w:tblHeader w:val="true"/>
        </w:trPr>
        <w:tc>
          <w:tcPr>
            <w:tcW w:type="dxa" w:w="1943"/>
            <w:vAlign w:val="center"/>
          </w:tcPr>
          <w:p>
            <w:pPr>
              <w:spacing w:after="0" w:before="0"/>
            </w:pPr>
            <w:r>
              <w:rPr>
                <w:rFonts w:ascii="Times New Roman" w:hAnsi="Times New Roman"/>
                <w:sz w:val="12"/>
              </w:rPr>
              <w:t>Entity</w:t>
            </w:r>
          </w:p>
        </w:tc>
        <w:tc>
          <w:tcPr>
            <w:tcW w:type="dxa" w:w="1943"/>
            <w:vAlign w:val="center"/>
          </w:tcPr>
          <w:p>
            <w:pPr>
              <w:spacing w:after="0" w:before="0"/>
            </w:pPr>
            <w:r>
              <w:rPr>
                <w:rFonts w:ascii="Times New Roman" w:hAnsi="Times New Roman"/>
                <w:sz w:val="12"/>
              </w:rPr>
              <w:t>D1 Renewable</w:t>
            </w:r>
          </w:p>
        </w:tc>
        <w:tc>
          <w:tcPr>
            <w:tcW w:type="dxa" w:w="1943"/>
            <w:vAlign w:val="center"/>
          </w:tcPr>
          <w:p>
            <w:pPr>
              <w:spacing w:after="0" w:before="0"/>
            </w:pPr>
            <w:r>
              <w:rPr>
                <w:rFonts w:ascii="Times New Roman" w:hAnsi="Times New Roman"/>
                <w:sz w:val="12"/>
              </w:rPr>
              <w:t>D2 Net Zero</w:t>
            </w:r>
          </w:p>
        </w:tc>
        <w:tc>
          <w:tcPr>
            <w:tcW w:type="dxa" w:w="1943"/>
            <w:vAlign w:val="center"/>
          </w:tcPr>
          <w:p>
            <w:pPr>
              <w:spacing w:after="0" w:before="0"/>
            </w:pPr>
            <w:r>
              <w:rPr>
                <w:rFonts w:ascii="Times New Roman" w:hAnsi="Times New Roman"/>
                <w:sz w:val="12"/>
              </w:rPr>
              <w:t>D3 Methane</w:t>
            </w:r>
          </w:p>
        </w:tc>
        <w:tc>
          <w:tcPr>
            <w:tcW w:type="dxa" w:w="1943"/>
            <w:vAlign w:val="center"/>
          </w:tcPr>
          <w:p>
            <w:pPr>
              <w:spacing w:after="0" w:before="0"/>
            </w:pPr>
            <w:r>
              <w:rPr>
                <w:rFonts w:ascii="Times New Roman" w:hAnsi="Times New Roman"/>
                <w:sz w:val="12"/>
              </w:rPr>
              <w:t>D4 Adapt. Finance</w:t>
            </w:r>
          </w:p>
        </w:tc>
        <w:tc>
          <w:tcPr>
            <w:tcW w:type="dxa" w:w="1943"/>
            <w:vAlign w:val="center"/>
          </w:tcPr>
          <w:p>
            <w:pPr>
              <w:spacing w:after="0" w:before="0"/>
            </w:pPr>
            <w:r>
              <w:rPr>
                <w:rFonts w:ascii="Times New Roman" w:hAnsi="Times New Roman"/>
                <w:sz w:val="12"/>
              </w:rPr>
              <w:t>D5 Loss &amp; Damage</w:t>
            </w:r>
          </w:p>
        </w:tc>
        <w:tc>
          <w:tcPr>
            <w:tcW w:type="dxa" w:w="1943"/>
            <w:vAlign w:val="center"/>
          </w:tcPr>
          <w:p>
            <w:pPr>
              <w:spacing w:after="0" w:before="0"/>
            </w:pPr>
            <w:r>
              <w:rPr>
                <w:rFonts w:ascii="Times New Roman" w:hAnsi="Times New Roman"/>
                <w:sz w:val="12"/>
              </w:rPr>
              <w:t>D6 Transport</w:t>
            </w:r>
          </w:p>
        </w:tc>
        <w:tc>
          <w:tcPr>
            <w:tcW w:type="dxa" w:w="1943"/>
            <w:vAlign w:val="center"/>
          </w:tcPr>
          <w:p>
            <w:pPr>
              <w:spacing w:after="0" w:before="0"/>
            </w:pPr>
            <w:r>
              <w:rPr>
                <w:rFonts w:ascii="Times New Roman" w:hAnsi="Times New Roman"/>
                <w:sz w:val="12"/>
              </w:rPr>
              <w:t>D7 LULUCF</w:t>
            </w:r>
          </w:p>
        </w:tc>
      </w:tr>
      <w:tr>
        <w:tc>
          <w:tcPr>
            <w:tcW w:type="dxa" w:w="1943"/>
            <w:vAlign w:val="center"/>
          </w:tcPr>
          <w:p>
            <w:pPr>
              <w:spacing w:after="0" w:before="0"/>
            </w:pPr>
            <w:r>
              <w:rPr>
                <w:rFonts w:ascii="Times New Roman" w:hAnsi="Times New Roman"/>
                <w:sz w:val="12"/>
              </w:rPr>
              <w:t>Argentina</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0.70 Significant</w:t>
            </w:r>
          </w:p>
        </w:tc>
      </w:tr>
      <w:tr>
        <w:tc>
          <w:tcPr>
            <w:tcW w:type="dxa" w:w="1943"/>
            <w:vAlign w:val="center"/>
          </w:tcPr>
          <w:p>
            <w:pPr>
              <w:spacing w:after="0" w:before="0"/>
            </w:pPr>
            <w:r>
              <w:rPr>
                <w:rFonts w:ascii="Times New Roman" w:hAnsi="Times New Roman"/>
                <w:sz w:val="12"/>
              </w:rPr>
              <w:t>Australia</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1.00 Absent</w:t>
            </w:r>
          </w:p>
        </w:tc>
      </w:tr>
      <w:tr>
        <w:tc>
          <w:tcPr>
            <w:tcW w:type="dxa" w:w="1943"/>
            <w:vAlign w:val="center"/>
          </w:tcPr>
          <w:p>
            <w:pPr>
              <w:spacing w:after="0" w:before="0"/>
            </w:pPr>
            <w:r>
              <w:rPr>
                <w:rFonts w:ascii="Times New Roman" w:hAnsi="Times New Roman"/>
                <w:sz w:val="12"/>
              </w:rPr>
              <w:t>Brazil</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0.70 Significant</w:t>
            </w:r>
          </w:p>
        </w:tc>
      </w:tr>
      <w:tr>
        <w:tc>
          <w:tcPr>
            <w:tcW w:type="dxa" w:w="1943"/>
            <w:vAlign w:val="center"/>
          </w:tcPr>
          <w:p>
            <w:pPr>
              <w:spacing w:after="0" w:before="0"/>
            </w:pPr>
            <w:r>
              <w:rPr>
                <w:rFonts w:ascii="Times New Roman" w:hAnsi="Times New Roman"/>
                <w:sz w:val="12"/>
              </w:rPr>
              <w:t>Canada</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0.40 Significant</w:t>
            </w:r>
          </w:p>
        </w:tc>
        <w:tc>
          <w:tcPr>
            <w:tcW w:type="dxa" w:w="1943"/>
            <w:vAlign w:val="center"/>
          </w:tcPr>
          <w:p>
            <w:pPr>
              <w:spacing w:after="0" w:before="0"/>
            </w:pPr>
            <w:r>
              <w:rPr>
                <w:rFonts w:ascii="Times New Roman" w:hAnsi="Times New Roman"/>
                <w:sz w:val="12"/>
              </w:rPr>
              <w:t>0.70 Significant</w:t>
            </w:r>
          </w:p>
        </w:tc>
      </w:tr>
      <w:tr>
        <w:tc>
          <w:tcPr>
            <w:tcW w:type="dxa" w:w="1943"/>
            <w:vAlign w:val="center"/>
          </w:tcPr>
          <w:p>
            <w:pPr>
              <w:spacing w:after="0" w:before="0"/>
            </w:pPr>
            <w:r>
              <w:rPr>
                <w:rFonts w:ascii="Times New Roman" w:hAnsi="Times New Roman"/>
                <w:sz w:val="12"/>
              </w:rPr>
              <w:t>China</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0.70 Significant</w:t>
            </w:r>
          </w:p>
        </w:tc>
      </w:tr>
      <w:tr>
        <w:tc>
          <w:tcPr>
            <w:tcW w:type="dxa" w:w="1943"/>
            <w:vAlign w:val="center"/>
          </w:tcPr>
          <w:p>
            <w:pPr>
              <w:spacing w:after="0" w:before="0"/>
            </w:pPr>
            <w:r>
              <w:rPr>
                <w:rFonts w:ascii="Times New Roman" w:hAnsi="Times New Roman"/>
                <w:sz w:val="12"/>
              </w:rPr>
              <w:t>EU</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0.75 Significant</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0.40 Significant</w:t>
            </w:r>
          </w:p>
        </w:tc>
        <w:tc>
          <w:tcPr>
            <w:tcW w:type="dxa" w:w="1943"/>
            <w:vAlign w:val="center"/>
          </w:tcPr>
          <w:p>
            <w:pPr>
              <w:spacing w:after="0" w:before="0"/>
            </w:pPr>
            <w:r>
              <w:rPr>
                <w:rFonts w:ascii="Times New Roman" w:hAnsi="Times New Roman"/>
                <w:sz w:val="12"/>
              </w:rPr>
              <w:t>0.70 Significant</w:t>
            </w:r>
          </w:p>
        </w:tc>
      </w:tr>
      <w:tr>
        <w:tc>
          <w:tcPr>
            <w:tcW w:type="dxa" w:w="1943"/>
            <w:vAlign w:val="center"/>
          </w:tcPr>
          <w:p>
            <w:pPr>
              <w:spacing w:after="0" w:before="0"/>
            </w:pPr>
            <w:r>
              <w:rPr>
                <w:rFonts w:ascii="Times New Roman" w:hAnsi="Times New Roman"/>
                <w:sz w:val="12"/>
              </w:rPr>
              <w:t>India</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0.70 Significant</w:t>
            </w:r>
          </w:p>
        </w:tc>
      </w:tr>
      <w:tr>
        <w:tc>
          <w:tcPr>
            <w:tcW w:type="dxa" w:w="1943"/>
            <w:vAlign w:val="center"/>
          </w:tcPr>
          <w:p>
            <w:pPr>
              <w:spacing w:after="0" w:before="0"/>
            </w:pPr>
            <w:r>
              <w:rPr>
                <w:rFonts w:ascii="Times New Roman" w:hAnsi="Times New Roman"/>
                <w:sz w:val="12"/>
              </w:rPr>
              <w:t>Indonesia</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0.00 Aligned</w:t>
            </w:r>
          </w:p>
        </w:tc>
        <w:tc>
          <w:tcPr>
            <w:tcW w:type="dxa" w:w="1943"/>
            <w:vAlign w:val="center"/>
          </w:tcPr>
          <w:p>
            <w:pPr>
              <w:spacing w:after="0" w:before="0"/>
            </w:pPr>
            <w:r>
              <w:rPr>
                <w:rFonts w:ascii="Times New Roman" w:hAnsi="Times New Roman"/>
                <w:sz w:val="12"/>
              </w:rPr>
              <w:t>0.40 Significant</w:t>
            </w:r>
          </w:p>
        </w:tc>
        <w:tc>
          <w:tcPr>
            <w:tcW w:type="dxa" w:w="1943"/>
            <w:vAlign w:val="center"/>
          </w:tcPr>
          <w:p>
            <w:pPr>
              <w:spacing w:after="0" w:before="0"/>
            </w:pPr>
            <w:r>
              <w:rPr>
                <w:rFonts w:ascii="Times New Roman" w:hAnsi="Times New Roman"/>
                <w:sz w:val="12"/>
              </w:rPr>
              <w:t>0.70 Significant</w:t>
            </w:r>
          </w:p>
        </w:tc>
      </w:tr>
      <w:tr>
        <w:tc>
          <w:tcPr>
            <w:tcW w:type="dxa" w:w="1943"/>
            <w:vAlign w:val="center"/>
          </w:tcPr>
          <w:p>
            <w:pPr>
              <w:spacing w:after="0" w:before="0"/>
            </w:pPr>
            <w:r>
              <w:rPr>
                <w:rFonts w:ascii="Times New Roman" w:hAnsi="Times New Roman"/>
                <w:sz w:val="12"/>
              </w:rPr>
              <w:t>Japan</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0.40 Significant</w:t>
            </w:r>
          </w:p>
        </w:tc>
        <w:tc>
          <w:tcPr>
            <w:tcW w:type="dxa" w:w="1943"/>
            <w:vAlign w:val="center"/>
          </w:tcPr>
          <w:p>
            <w:pPr>
              <w:spacing w:after="0" w:before="0"/>
            </w:pPr>
            <w:r>
              <w:rPr>
                <w:rFonts w:ascii="Times New Roman" w:hAnsi="Times New Roman"/>
                <w:sz w:val="12"/>
              </w:rPr>
              <w:t>0.60 Significant</w:t>
            </w:r>
          </w:p>
        </w:tc>
      </w:tr>
      <w:tr>
        <w:tc>
          <w:tcPr>
            <w:tcW w:type="dxa" w:w="1943"/>
            <w:vAlign w:val="center"/>
          </w:tcPr>
          <w:p>
            <w:pPr>
              <w:spacing w:after="0" w:before="0"/>
            </w:pPr>
            <w:r>
              <w:rPr>
                <w:rFonts w:ascii="Times New Roman" w:hAnsi="Times New Roman"/>
                <w:sz w:val="12"/>
              </w:rPr>
              <w:t>Mexico</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0.80 Critical</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1.00 Absent</w:t>
            </w:r>
          </w:p>
        </w:tc>
      </w:tr>
      <w:tr>
        <w:tc>
          <w:tcPr>
            <w:tcW w:type="dxa" w:w="1943"/>
            <w:vAlign w:val="center"/>
          </w:tcPr>
          <w:p>
            <w:pPr>
              <w:spacing w:after="0" w:before="0"/>
            </w:pPr>
            <w:r>
              <w:rPr>
                <w:rFonts w:ascii="Times New Roman" w:hAnsi="Times New Roman"/>
                <w:sz w:val="12"/>
              </w:rPr>
              <w:t>Russia</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1.00 Absent</w:t>
            </w:r>
          </w:p>
        </w:tc>
      </w:tr>
      <w:tr>
        <w:tc>
          <w:tcPr>
            <w:tcW w:type="dxa" w:w="1943"/>
            <w:vAlign w:val="center"/>
          </w:tcPr>
          <w:p>
            <w:pPr>
              <w:spacing w:after="0" w:before="0"/>
            </w:pPr>
            <w:r>
              <w:rPr>
                <w:rFonts w:ascii="Times New Roman" w:hAnsi="Times New Roman"/>
                <w:sz w:val="12"/>
              </w:rPr>
              <w:t>Saudi Arabia</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0.80 Critical</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1.00 Absent</w:t>
            </w:r>
          </w:p>
        </w:tc>
      </w:tr>
      <w:tr>
        <w:tc>
          <w:tcPr>
            <w:tcW w:type="dxa" w:w="1943"/>
            <w:vAlign w:val="center"/>
          </w:tcPr>
          <w:p>
            <w:pPr>
              <w:spacing w:after="0" w:before="0"/>
            </w:pPr>
            <w:r>
              <w:rPr>
                <w:rFonts w:ascii="Times New Roman" w:hAnsi="Times New Roman"/>
                <w:sz w:val="12"/>
              </w:rPr>
              <w:t>South Africa</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0.00 Aligned</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1.00 Absent</w:t>
            </w:r>
          </w:p>
        </w:tc>
      </w:tr>
      <w:tr>
        <w:tc>
          <w:tcPr>
            <w:tcW w:type="dxa" w:w="1943"/>
            <w:vAlign w:val="center"/>
          </w:tcPr>
          <w:p>
            <w:pPr>
              <w:spacing w:after="0" w:before="0"/>
            </w:pPr>
            <w:r>
              <w:rPr>
                <w:rFonts w:ascii="Times New Roman" w:hAnsi="Times New Roman"/>
                <w:sz w:val="12"/>
              </w:rPr>
              <w:t>South Korea</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0.40 Significant</w:t>
            </w:r>
          </w:p>
        </w:tc>
        <w:tc>
          <w:tcPr>
            <w:tcW w:type="dxa" w:w="1943"/>
            <w:vAlign w:val="center"/>
          </w:tcPr>
          <w:p>
            <w:pPr>
              <w:spacing w:after="0" w:before="0"/>
            </w:pPr>
            <w:r>
              <w:rPr>
                <w:rFonts w:ascii="Times New Roman" w:hAnsi="Times New Roman"/>
                <w:sz w:val="12"/>
              </w:rPr>
              <w:t>0.60 Significant</w:t>
            </w:r>
          </w:p>
        </w:tc>
      </w:tr>
      <w:tr>
        <w:tc>
          <w:tcPr>
            <w:tcW w:type="dxa" w:w="1943"/>
            <w:vAlign w:val="center"/>
          </w:tcPr>
          <w:p>
            <w:pPr>
              <w:spacing w:after="0" w:before="0"/>
            </w:pPr>
            <w:r>
              <w:rPr>
                <w:rFonts w:ascii="Times New Roman" w:hAnsi="Times New Roman"/>
                <w:sz w:val="12"/>
              </w:rPr>
              <w:t>Türkiye</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0.40 Significant</w:t>
            </w:r>
          </w:p>
        </w:tc>
        <w:tc>
          <w:tcPr>
            <w:tcW w:type="dxa" w:w="1943"/>
            <w:vAlign w:val="center"/>
          </w:tcPr>
          <w:p>
            <w:pPr>
              <w:spacing w:after="0" w:before="0"/>
            </w:pPr>
            <w:r>
              <w:rPr>
                <w:rFonts w:ascii="Times New Roman" w:hAnsi="Times New Roman"/>
                <w:sz w:val="12"/>
              </w:rPr>
              <w:t>0.60 Significant</w:t>
            </w:r>
          </w:p>
        </w:tc>
      </w:tr>
      <w:tr>
        <w:tc>
          <w:tcPr>
            <w:tcW w:type="dxa" w:w="1943"/>
            <w:vAlign w:val="center"/>
          </w:tcPr>
          <w:p>
            <w:pPr>
              <w:spacing w:after="0" w:before="0"/>
            </w:pPr>
            <w:r>
              <w:rPr>
                <w:rFonts w:ascii="Times New Roman" w:hAnsi="Times New Roman"/>
                <w:sz w:val="12"/>
              </w:rPr>
              <w:t>United Kingdom</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0.70 Significant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0.65 Significant</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0.40 Significant</w:t>
            </w:r>
          </w:p>
        </w:tc>
        <w:tc>
          <w:tcPr>
            <w:tcW w:type="dxa" w:w="1943"/>
            <w:vAlign w:val="center"/>
          </w:tcPr>
          <w:p>
            <w:pPr>
              <w:spacing w:after="0" w:before="0"/>
            </w:pPr>
            <w:r>
              <w:rPr>
                <w:rFonts w:ascii="Times New Roman" w:hAnsi="Times New Roman"/>
                <w:sz w:val="12"/>
              </w:rPr>
              <w:t>0.60 Significant</w:t>
            </w:r>
          </w:p>
        </w:tc>
      </w:tr>
      <w:tr>
        <w:tc>
          <w:tcPr>
            <w:tcW w:type="dxa" w:w="1943"/>
            <w:vAlign w:val="center"/>
          </w:tcPr>
          <w:p>
            <w:pPr>
              <w:spacing w:after="0" w:before="0"/>
            </w:pPr>
            <w:r>
              <w:rPr>
                <w:rFonts w:ascii="Times New Roman" w:hAnsi="Times New Roman"/>
                <w:sz w:val="12"/>
              </w:rPr>
              <w:t>United States</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0.85 Critical</w:t>
            </w:r>
          </w:p>
        </w:tc>
        <w:tc>
          <w:tcPr>
            <w:tcW w:type="dxa" w:w="1943"/>
            <w:vAlign w:val="center"/>
          </w:tcPr>
          <w:p>
            <w:pPr>
              <w:spacing w:after="0" w:before="0"/>
            </w:pPr>
            <w:r>
              <w:rPr>
                <w:rFonts w:ascii="Times New Roman" w:hAnsi="Times New Roman"/>
                <w:sz w:val="12"/>
              </w:rPr>
              <w:t>1.00 Absent</w:t>
            </w:r>
          </w:p>
        </w:tc>
        <w:tc>
          <w:tcPr>
            <w:tcW w:type="dxa" w:w="1943"/>
            <w:vAlign w:val="center"/>
          </w:tcPr>
          <w:p>
            <w:pPr>
              <w:spacing w:after="0" w:before="0"/>
            </w:pPr>
            <w:r>
              <w:rPr>
                <w:rFonts w:ascii="Times New Roman" w:hAnsi="Times New Roman"/>
                <w:sz w:val="12"/>
              </w:rPr>
              <w:t>0.60 Significant</w:t>
            </w:r>
          </w:p>
        </w:tc>
        <w:tc>
          <w:tcPr>
            <w:tcW w:type="dxa" w:w="1943"/>
            <w:vAlign w:val="center"/>
          </w:tcPr>
          <w:p>
            <w:pPr>
              <w:spacing w:after="0" w:before="0"/>
            </w:pPr>
            <w:r>
              <w:rPr>
                <w:rFonts w:ascii="Times New Roman" w:hAnsi="Times New Roman"/>
                <w:sz w:val="12"/>
              </w:rPr>
              <w:t>0.70 Significant</w:t>
            </w:r>
          </w:p>
        </w:tc>
      </w:tr>
    </w:tbl>
    <w:p>
      <w:pPr>
        <w:pStyle w:val="Heading1"/>
      </w:pPr>
      <w:r>
        <w:t>S14. D6 Transport: Original Outputs and 17-Cell Source Audit</w:t>
      </w:r>
    </w:p>
    <w:p>
      <w:r>
        <w:t>The pilot review produced 0/3 agreement on D6 and triggered a post-hoc source audit of all 17 cells. The audit removed all 11 original Aligned labels and produced 14 Significant and 3 Absent reporting outcomes. This audit is excluded from formal classifier metrics.</w:t>
      </w:r>
    </w:p>
    <w:p>
      <w:pPr>
        <w:spacing w:before="120" w:after="60"/>
      </w:pPr>
      <w:r>
        <w:rPr>
          <w:b/>
        </w:rPr>
        <w:t>Supplementary Table S14. Original and source-audited D6 outputs with evidence summaries.</w:t>
      </w:r>
    </w:p>
    <w:tbl>
      <w:tblPr>
        <w:tblW w:type="auto" w:w="0"/>
        <w:jc w:val="center"/>
        <w:tblLook w:firstColumn="1" w:firstRow="1" w:lastColumn="0" w:lastRow="0" w:noHBand="0" w:noVBand="1" w:val="04A0"/>
      </w:tblPr>
      <w:tblGrid>
        <w:gridCol w:w="3108"/>
        <w:gridCol w:w="3108"/>
        <w:gridCol w:w="3108"/>
        <w:gridCol w:w="3108"/>
        <w:gridCol w:w="3108"/>
      </w:tblGrid>
      <w:tr>
        <w:trPr>
          <w:tblHeader w:val="true"/>
        </w:trPr>
        <w:tc>
          <w:tcPr>
            <w:tcW w:type="dxa" w:w="3108"/>
            <w:vAlign w:val="center"/>
          </w:tcPr>
          <w:p>
            <w:pPr>
              <w:spacing w:after="0" w:before="0"/>
            </w:pPr>
            <w:r>
              <w:rPr>
                <w:rFonts w:ascii="Times New Roman" w:hAnsi="Times New Roman"/>
                <w:sz w:val="12"/>
              </w:rPr>
              <w:t>Entity</w:t>
            </w:r>
          </w:p>
        </w:tc>
        <w:tc>
          <w:tcPr>
            <w:tcW w:type="dxa" w:w="3108"/>
            <w:vAlign w:val="center"/>
          </w:tcPr>
          <w:p>
            <w:pPr>
              <w:spacing w:after="0" w:before="0"/>
            </w:pPr>
            <w:r>
              <w:rPr>
                <w:rFonts w:ascii="Times New Roman" w:hAnsi="Times New Roman"/>
                <w:sz w:val="12"/>
              </w:rPr>
              <w:t>Original score/class</w:t>
            </w:r>
          </w:p>
        </w:tc>
        <w:tc>
          <w:tcPr>
            <w:tcW w:type="dxa" w:w="3108"/>
            <w:vAlign w:val="center"/>
          </w:tcPr>
          <w:p>
            <w:pPr>
              <w:spacing w:after="0" w:before="0"/>
            </w:pPr>
            <w:r>
              <w:rPr>
                <w:rFonts w:ascii="Times New Roman" w:hAnsi="Times New Roman"/>
                <w:sz w:val="12"/>
              </w:rPr>
              <w:t>Audited score/class</w:t>
            </w:r>
          </w:p>
        </w:tc>
        <w:tc>
          <w:tcPr>
            <w:tcW w:type="dxa" w:w="3108"/>
            <w:vAlign w:val="center"/>
          </w:tcPr>
          <w:p>
            <w:pPr>
              <w:spacing w:after="0" w:before="0"/>
            </w:pPr>
            <w:r>
              <w:rPr>
                <w:rFonts w:ascii="Times New Roman" w:hAnsi="Times New Roman"/>
                <w:sz w:val="12"/>
              </w:rPr>
              <w:t>Cut-off-compliant evidence summary</w:t>
            </w:r>
          </w:p>
        </w:tc>
        <w:tc>
          <w:tcPr>
            <w:tcW w:type="dxa" w:w="3108"/>
            <w:vAlign w:val="center"/>
          </w:tcPr>
          <w:p>
            <w:pPr>
              <w:spacing w:after="0" w:before="0"/>
            </w:pPr>
            <w:r>
              <w:rPr>
                <w:rFonts w:ascii="Times New Roman" w:hAnsi="Times New Roman"/>
                <w:sz w:val="12"/>
              </w:rPr>
              <w:t>Source-audit rationale</w:t>
            </w:r>
          </w:p>
        </w:tc>
      </w:tr>
      <w:tr>
        <w:tc>
          <w:tcPr>
            <w:tcW w:type="dxa" w:w="3108"/>
            <w:vAlign w:val="center"/>
          </w:tcPr>
          <w:p>
            <w:pPr>
              <w:spacing w:after="0" w:before="0"/>
            </w:pPr>
            <w:r>
              <w:rPr>
                <w:rFonts w:ascii="Times New Roman" w:hAnsi="Times New Roman"/>
                <w:sz w:val="12"/>
              </w:rPr>
              <w:t>Argentina</w:t>
            </w:r>
          </w:p>
        </w:tc>
        <w:tc>
          <w:tcPr>
            <w:tcW w:type="dxa" w:w="3108"/>
            <w:vAlign w:val="center"/>
          </w:tcPr>
          <w:p>
            <w:pPr>
              <w:spacing w:after="0" w:before="0"/>
            </w:pPr>
            <w:r>
              <w:rPr>
                <w:rFonts w:ascii="Times New Roman" w:hAnsi="Times New Roman"/>
                <w:sz w:val="12"/>
              </w:rPr>
              <w:t>0.7 Significant</w:t>
            </w:r>
          </w:p>
        </w:tc>
        <w:tc>
          <w:tcPr>
            <w:tcW w:type="dxa" w:w="3108"/>
            <w:vAlign w:val="center"/>
          </w:tcPr>
          <w:p>
            <w:pPr>
              <w:spacing w:after="0" w:before="0"/>
            </w:pPr>
            <w:r>
              <w:rPr>
                <w:rFonts w:ascii="Times New Roman" w:hAnsi="Times New Roman"/>
                <w:sz w:val="12"/>
              </w:rPr>
              <w:t>0.6 Significant</w:t>
            </w:r>
          </w:p>
        </w:tc>
        <w:tc>
          <w:tcPr>
            <w:tcW w:type="dxa" w:w="3108"/>
            <w:vAlign w:val="center"/>
          </w:tcPr>
          <w:p>
            <w:pPr>
              <w:spacing w:after="0" w:before="0"/>
            </w:pPr>
            <w:r>
              <w:rPr>
                <w:rFonts w:ascii="Times New Roman" w:hAnsi="Times New Roman"/>
                <w:sz w:val="12"/>
              </w:rPr>
              <w:t>The NDC describes a 2030 Avoid-Shift-Improve approach, intermodality, active mobility, public transport, biofuels, electrification and hydrogen, but gives no quantified total transport-emissions or fleet-share target.</w:t>
            </w:r>
          </w:p>
        </w:tc>
        <w:tc>
          <w:tcPr>
            <w:tcW w:type="dxa" w:w="3108"/>
            <w:vAlign w:val="center"/>
          </w:tcPr>
          <w:p>
            <w:pPr>
              <w:spacing w:after="0" w:before="0"/>
            </w:pPr>
            <w:r>
              <w:rPr>
                <w:rFonts w:ascii="Times New Roman" w:hAnsi="Times New Roman"/>
                <w:sz w:val="12"/>
              </w:rPr>
              <w:t>Directional transport mitigation evidence is sufficient for a Significant screening label, but not for Aligned or a numerical comparison with the IPCC transport pathway.</w:t>
            </w:r>
          </w:p>
        </w:tc>
      </w:tr>
      <w:tr>
        <w:tc>
          <w:tcPr>
            <w:tcW w:type="dxa" w:w="3108"/>
            <w:vAlign w:val="center"/>
          </w:tcPr>
          <w:p>
            <w:pPr>
              <w:spacing w:after="0" w:before="0"/>
            </w:pPr>
            <w:r>
              <w:rPr>
                <w:rFonts w:ascii="Times New Roman" w:hAnsi="Times New Roman"/>
                <w:sz w:val="12"/>
              </w:rPr>
              <w:t>Australia</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1 Absent</w:t>
            </w:r>
          </w:p>
        </w:tc>
        <w:tc>
          <w:tcPr>
            <w:tcW w:type="dxa" w:w="3108"/>
            <w:vAlign w:val="center"/>
          </w:tcPr>
          <w:p>
            <w:pPr>
              <w:spacing w:after="0" w:before="0"/>
            </w:pPr>
            <w:r>
              <w:rPr>
                <w:rFonts w:ascii="Times New Roman" w:hAnsi="Times New Roman"/>
                <w:sz w:val="12"/>
              </w:rPr>
              <w:t>The assessed NDC updates the economy-wide 2030 and net-zero targets but does not state an explicit transport-sector, vehicle, modal-shift or transport-emissions commitment.</w:t>
            </w:r>
          </w:p>
        </w:tc>
        <w:tc>
          <w:tcPr>
            <w:tcW w:type="dxa" w:w="3108"/>
            <w:vAlign w:val="center"/>
          </w:tcPr>
          <w:p>
            <w:pPr>
              <w:spacing w:after="0" w:before="0"/>
            </w:pPr>
            <w:r>
              <w:rPr>
                <w:rFonts w:ascii="Times New Roman" w:hAnsi="Times New Roman"/>
                <w:sz w:val="12"/>
              </w:rPr>
              <w:t>Absent refers only to the assessed NDC text, not to the absence of Australian transport policy outside the NDC.</w:t>
            </w:r>
          </w:p>
        </w:tc>
      </w:tr>
      <w:tr>
        <w:tc>
          <w:tcPr>
            <w:tcW w:type="dxa" w:w="3108"/>
            <w:vAlign w:val="center"/>
          </w:tcPr>
          <w:p>
            <w:pPr>
              <w:spacing w:after="0" w:before="0"/>
            </w:pPr>
            <w:r>
              <w:rPr>
                <w:rFonts w:ascii="Times New Roman" w:hAnsi="Times New Roman"/>
                <w:sz w:val="12"/>
              </w:rPr>
              <w:t>Brazil</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0.6 Significant</w:t>
            </w:r>
          </w:p>
        </w:tc>
        <w:tc>
          <w:tcPr>
            <w:tcW w:type="dxa" w:w="3108"/>
            <w:vAlign w:val="center"/>
          </w:tcPr>
          <w:p>
            <w:pPr>
              <w:spacing w:after="0" w:before="0"/>
            </w:pPr>
            <w:r>
              <w:rPr>
                <w:rFonts w:ascii="Times New Roman" w:hAnsi="Times New Roman"/>
                <w:sz w:val="12"/>
              </w:rPr>
              <w:t>The NDC records a substantial renewable share in the transport energy mix and identifies RenovaBio as a decarbonisation instrument, but it does not provide a forward quantified total transport-emissions, EV-share or modal target.</w:t>
            </w:r>
          </w:p>
        </w:tc>
        <w:tc>
          <w:tcPr>
            <w:tcW w:type="dxa" w:w="3108"/>
            <w:vAlign w:val="center"/>
          </w:tcPr>
          <w:p>
            <w:pPr>
              <w:spacing w:after="0" w:before="0"/>
            </w:pPr>
            <w:r>
              <w:rPr>
                <w:rFonts w:ascii="Times New Roman" w:hAnsi="Times New Roman"/>
                <w:sz w:val="12"/>
              </w:rPr>
              <w:t>Existing biofuel policy supports a Significant screening label, but it does not establish transport-pathway alignment.</w:t>
            </w:r>
          </w:p>
        </w:tc>
      </w:tr>
      <w:tr>
        <w:tc>
          <w:tcPr>
            <w:tcW w:type="dxa" w:w="3108"/>
            <w:vAlign w:val="center"/>
          </w:tcPr>
          <w:p>
            <w:pPr>
              <w:spacing w:after="0" w:before="0"/>
            </w:pPr>
            <w:r>
              <w:rPr>
                <w:rFonts w:ascii="Times New Roman" w:hAnsi="Times New Roman"/>
                <w:sz w:val="12"/>
              </w:rPr>
              <w:t>Canada</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0.4 Significant</w:t>
            </w:r>
          </w:p>
        </w:tc>
        <w:tc>
          <w:tcPr>
            <w:tcW w:type="dxa" w:w="3108"/>
            <w:vAlign w:val="center"/>
          </w:tcPr>
          <w:p>
            <w:pPr>
              <w:spacing w:after="0" w:before="0"/>
            </w:pPr>
            <w:r>
              <w:rPr>
                <w:rFonts w:ascii="Times New Roman" w:hAnsi="Times New Roman"/>
                <w:sz w:val="12"/>
              </w:rPr>
              <w:t>Canada had defined light-duty ZEV sales milestones of 20% by 2026, 60% by 2030 and 100% by 2035, supported by regulation and charging/transit programmes. The metric is new-vehicle sales, not total transport emissions.</w:t>
            </w:r>
          </w:p>
        </w:tc>
        <w:tc>
          <w:tcPr>
            <w:tcW w:type="dxa" w:w="3108"/>
            <w:vAlign w:val="center"/>
          </w:tcPr>
          <w:p>
            <w:pPr>
              <w:spacing w:after="0" w:before="0"/>
            </w:pPr>
            <w:r>
              <w:rPr>
                <w:rFonts w:ascii="Times New Roman" w:hAnsi="Times New Roman"/>
                <w:sz w:val="12"/>
              </w:rPr>
              <w:t>The commitment is specific and operational, but partial in sector coverage and metric.</w:t>
            </w:r>
          </w:p>
        </w:tc>
      </w:tr>
      <w:tr>
        <w:tc>
          <w:tcPr>
            <w:tcW w:type="dxa" w:w="3108"/>
            <w:vAlign w:val="center"/>
          </w:tcPr>
          <w:p>
            <w:pPr>
              <w:spacing w:after="0" w:before="0"/>
            </w:pPr>
            <w:r>
              <w:rPr>
                <w:rFonts w:ascii="Times New Roman" w:hAnsi="Times New Roman"/>
                <w:sz w:val="12"/>
              </w:rPr>
              <w:t>China</w:t>
            </w:r>
          </w:p>
        </w:tc>
        <w:tc>
          <w:tcPr>
            <w:tcW w:type="dxa" w:w="3108"/>
            <w:vAlign w:val="center"/>
          </w:tcPr>
          <w:p>
            <w:pPr>
              <w:spacing w:after="0" w:before="0"/>
            </w:pPr>
            <w:r>
              <w:rPr>
                <w:rFonts w:ascii="Times New Roman" w:hAnsi="Times New Roman"/>
                <w:sz w:val="12"/>
              </w:rPr>
              <w:t>1 Absent</w:t>
            </w:r>
          </w:p>
        </w:tc>
        <w:tc>
          <w:tcPr>
            <w:tcW w:type="dxa" w:w="3108"/>
            <w:vAlign w:val="center"/>
          </w:tcPr>
          <w:p>
            <w:pPr>
              <w:spacing w:after="0" w:before="0"/>
            </w:pPr>
            <w:r>
              <w:rPr>
                <w:rFonts w:ascii="Times New Roman" w:hAnsi="Times New Roman"/>
                <w:sz w:val="12"/>
              </w:rPr>
              <w:t>0.6 Significant</w:t>
            </w:r>
          </w:p>
        </w:tc>
        <w:tc>
          <w:tcPr>
            <w:tcW w:type="dxa" w:w="3108"/>
            <w:vAlign w:val="center"/>
          </w:tcPr>
          <w:p>
            <w:pPr>
              <w:spacing w:after="0" w:before="0"/>
            </w:pPr>
            <w:r>
              <w:rPr>
                <w:rFonts w:ascii="Times New Roman" w:hAnsi="Times New Roman"/>
                <w:sz w:val="12"/>
              </w:rPr>
              <w:t>The NDC promotes green and low-carbon transport, new-energy vehicles, public transport, railway and waterborne freight, and cleaner shipping and aviation, but does not state a quantified total transport-emissions target.</w:t>
            </w:r>
          </w:p>
        </w:tc>
        <w:tc>
          <w:tcPr>
            <w:tcW w:type="dxa" w:w="3108"/>
            <w:vAlign w:val="center"/>
          </w:tcPr>
          <w:p>
            <w:pPr>
              <w:spacing w:after="0" w:before="0"/>
            </w:pPr>
            <w:r>
              <w:rPr>
                <w:rFonts w:ascii="Times New Roman" w:hAnsi="Times New Roman"/>
                <w:sz w:val="12"/>
              </w:rPr>
              <w:t>The original Absent label is not supported because relevant transport commitments are present.</w:t>
            </w:r>
          </w:p>
        </w:tc>
      </w:tr>
      <w:tr>
        <w:tc>
          <w:tcPr>
            <w:tcW w:type="dxa" w:w="3108"/>
            <w:vAlign w:val="center"/>
          </w:tcPr>
          <w:p>
            <w:pPr>
              <w:spacing w:after="0" w:before="0"/>
            </w:pPr>
            <w:r>
              <w:rPr>
                <w:rFonts w:ascii="Times New Roman" w:hAnsi="Times New Roman"/>
                <w:sz w:val="12"/>
              </w:rPr>
              <w:t>European Union</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0.4 Significant</w:t>
            </w:r>
          </w:p>
        </w:tc>
        <w:tc>
          <w:tcPr>
            <w:tcW w:type="dxa" w:w="3108"/>
            <w:vAlign w:val="center"/>
          </w:tcPr>
          <w:p>
            <w:pPr>
              <w:spacing w:after="0" w:before="0"/>
            </w:pPr>
            <w:r>
              <w:rPr>
                <w:rFonts w:ascii="Times New Roman" w:hAnsi="Times New Roman"/>
                <w:sz w:val="12"/>
              </w:rPr>
              <w:t>The EU framework includes dated car and van CO2 standards and zero-emission vehicle milestones within the Fit for 55 package. These are strong road-vehicle measures but do not constitute one directly comparable total transport-emissions target.</w:t>
            </w:r>
          </w:p>
        </w:tc>
        <w:tc>
          <w:tcPr>
            <w:tcW w:type="dxa" w:w="3108"/>
            <w:vAlign w:val="center"/>
          </w:tcPr>
          <w:p>
            <w:pPr>
              <w:spacing w:after="0" w:before="0"/>
            </w:pPr>
            <w:r>
              <w:rPr>
                <w:rFonts w:ascii="Times New Roman" w:hAnsi="Times New Roman"/>
                <w:sz w:val="12"/>
              </w:rPr>
              <w:t>The evidence supports Significant, not Aligned, because the benchmark and policy metrics differ and the target is not transport-wide.</w:t>
            </w:r>
          </w:p>
        </w:tc>
      </w:tr>
      <w:tr>
        <w:tc>
          <w:tcPr>
            <w:tcW w:type="dxa" w:w="3108"/>
            <w:vAlign w:val="center"/>
          </w:tcPr>
          <w:p>
            <w:pPr>
              <w:spacing w:after="0" w:before="0"/>
            </w:pPr>
            <w:r>
              <w:rPr>
                <w:rFonts w:ascii="Times New Roman" w:hAnsi="Times New Roman"/>
                <w:sz w:val="12"/>
              </w:rPr>
              <w:t>India</w:t>
            </w:r>
          </w:p>
        </w:tc>
        <w:tc>
          <w:tcPr>
            <w:tcW w:type="dxa" w:w="3108"/>
            <w:vAlign w:val="center"/>
          </w:tcPr>
          <w:p>
            <w:pPr>
              <w:spacing w:after="0" w:before="0"/>
            </w:pPr>
            <w:r>
              <w:rPr>
                <w:rFonts w:ascii="Times New Roman" w:hAnsi="Times New Roman"/>
                <w:sz w:val="12"/>
              </w:rPr>
              <w:t>1 Absent</w:t>
            </w:r>
          </w:p>
        </w:tc>
        <w:tc>
          <w:tcPr>
            <w:tcW w:type="dxa" w:w="3108"/>
            <w:vAlign w:val="center"/>
          </w:tcPr>
          <w:p>
            <w:pPr>
              <w:spacing w:after="0" w:before="0"/>
            </w:pPr>
            <w:r>
              <w:rPr>
                <w:rFonts w:ascii="Times New Roman" w:hAnsi="Times New Roman"/>
                <w:sz w:val="12"/>
              </w:rPr>
              <w:t>1 Absent</w:t>
            </w:r>
          </w:p>
        </w:tc>
        <w:tc>
          <w:tcPr>
            <w:tcW w:type="dxa" w:w="3108"/>
            <w:vAlign w:val="center"/>
          </w:tcPr>
          <w:p>
            <w:pPr>
              <w:spacing w:after="0" w:before="0"/>
            </w:pPr>
            <w:r>
              <w:rPr>
                <w:rFonts w:ascii="Times New Roman" w:hAnsi="Times New Roman"/>
                <w:sz w:val="12"/>
              </w:rPr>
              <w:t>The updated NDC does not state an explicit transport-sector emissions target, EV target, modal-shift target or transport implementation commitment.</w:t>
            </w:r>
          </w:p>
        </w:tc>
        <w:tc>
          <w:tcPr>
            <w:tcW w:type="dxa" w:w="3108"/>
            <w:vAlign w:val="center"/>
          </w:tcPr>
          <w:p>
            <w:pPr>
              <w:spacing w:after="0" w:before="0"/>
            </w:pPr>
            <w:r>
              <w:rPr>
                <w:rFonts w:ascii="Times New Roman" w:hAnsi="Times New Roman"/>
                <w:sz w:val="12"/>
              </w:rPr>
              <w:t>Absent is limited to the NDC document and does not deny the existence of domestic transport programmes outside it.</w:t>
            </w:r>
          </w:p>
        </w:tc>
      </w:tr>
      <w:tr>
        <w:tc>
          <w:tcPr>
            <w:tcW w:type="dxa" w:w="3108"/>
            <w:vAlign w:val="center"/>
          </w:tcPr>
          <w:p>
            <w:pPr>
              <w:spacing w:after="0" w:before="0"/>
            </w:pPr>
            <w:r>
              <w:rPr>
                <w:rFonts w:ascii="Times New Roman" w:hAnsi="Times New Roman"/>
                <w:sz w:val="12"/>
              </w:rPr>
              <w:t>Indonesia</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0.4 Significant</w:t>
            </w:r>
          </w:p>
        </w:tc>
        <w:tc>
          <w:tcPr>
            <w:tcW w:type="dxa" w:w="3108"/>
            <w:vAlign w:val="center"/>
          </w:tcPr>
          <w:p>
            <w:pPr>
              <w:spacing w:after="0" w:before="0"/>
            </w:pPr>
            <w:r>
              <w:rPr>
                <w:rFonts w:ascii="Times New Roman" w:hAnsi="Times New Roman"/>
                <w:sz w:val="12"/>
              </w:rPr>
              <w:t>The NDC and its implementation context include dated BEV deployment targets for four-wheel and two-wheel vehicles and policies for biofuels and vehicle electrification. These are quantified deployment targets rather than a total transport-emissions target.</w:t>
            </w:r>
          </w:p>
        </w:tc>
        <w:tc>
          <w:tcPr>
            <w:tcW w:type="dxa" w:w="3108"/>
            <w:vAlign w:val="center"/>
          </w:tcPr>
          <w:p>
            <w:pPr>
              <w:spacing w:after="0" w:before="0"/>
            </w:pPr>
            <w:r>
              <w:rPr>
                <w:rFonts w:ascii="Times New Roman" w:hAnsi="Times New Roman"/>
                <w:sz w:val="12"/>
              </w:rPr>
              <w:t>Specificity is high, but the measure covers vehicle deployment rather than complete transport-sector emissions.</w:t>
            </w:r>
          </w:p>
        </w:tc>
      </w:tr>
      <w:tr>
        <w:tc>
          <w:tcPr>
            <w:tcW w:type="dxa" w:w="3108"/>
            <w:vAlign w:val="center"/>
          </w:tcPr>
          <w:p>
            <w:pPr>
              <w:spacing w:after="0" w:before="0"/>
            </w:pPr>
            <w:r>
              <w:rPr>
                <w:rFonts w:ascii="Times New Roman" w:hAnsi="Times New Roman"/>
                <w:sz w:val="12"/>
              </w:rPr>
              <w:t>Japan</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0.4 Significant</w:t>
            </w:r>
          </w:p>
        </w:tc>
        <w:tc>
          <w:tcPr>
            <w:tcW w:type="dxa" w:w="3108"/>
            <w:vAlign w:val="center"/>
          </w:tcPr>
          <w:p>
            <w:pPr>
              <w:spacing w:after="0" w:before="0"/>
            </w:pPr>
            <w:r>
              <w:rPr>
                <w:rFonts w:ascii="Times New Roman" w:hAnsi="Times New Roman"/>
                <w:sz w:val="12"/>
              </w:rPr>
              <w:t>Japan's implementation plan provides a 2030 transport-sector emissions level and reduction from 2013, alongside vehicle-electrification measures. The target year and baseline differ from the IPCC 2050 reference.</w:t>
            </w:r>
          </w:p>
        </w:tc>
        <w:tc>
          <w:tcPr>
            <w:tcW w:type="dxa" w:w="3108"/>
            <w:vAlign w:val="center"/>
          </w:tcPr>
          <w:p>
            <w:pPr>
              <w:spacing w:after="0" w:before="0"/>
            </w:pPr>
            <w:r>
              <w:rPr>
                <w:rFonts w:ascii="Times New Roman" w:hAnsi="Times New Roman"/>
                <w:sz w:val="12"/>
              </w:rPr>
              <w:t>This is among the strongest D6 commitments, but the paper's own comparability rule prevents a direct Aligned judgement.</w:t>
            </w:r>
          </w:p>
        </w:tc>
      </w:tr>
      <w:tr>
        <w:tc>
          <w:tcPr>
            <w:tcW w:type="dxa" w:w="3108"/>
            <w:vAlign w:val="center"/>
          </w:tcPr>
          <w:p>
            <w:pPr>
              <w:spacing w:after="0" w:before="0"/>
            </w:pPr>
            <w:r>
              <w:rPr>
                <w:rFonts w:ascii="Times New Roman" w:hAnsi="Times New Roman"/>
                <w:sz w:val="12"/>
              </w:rPr>
              <w:t>Mexico</w:t>
            </w:r>
          </w:p>
        </w:tc>
        <w:tc>
          <w:tcPr>
            <w:tcW w:type="dxa" w:w="3108"/>
            <w:vAlign w:val="center"/>
          </w:tcPr>
          <w:p>
            <w:pPr>
              <w:spacing w:after="0" w:before="0"/>
            </w:pPr>
            <w:r>
              <w:rPr>
                <w:rFonts w:ascii="Times New Roman" w:hAnsi="Times New Roman"/>
                <w:sz w:val="12"/>
              </w:rPr>
              <w:t>0.6 Significant</w:t>
            </w:r>
          </w:p>
        </w:tc>
        <w:tc>
          <w:tcPr>
            <w:tcW w:type="dxa" w:w="3108"/>
            <w:vAlign w:val="center"/>
          </w:tcPr>
          <w:p>
            <w:pPr>
              <w:spacing w:after="0" w:before="0"/>
            </w:pPr>
            <w:r>
              <w:rPr>
                <w:rFonts w:ascii="Times New Roman" w:hAnsi="Times New Roman"/>
                <w:sz w:val="12"/>
              </w:rPr>
              <w:t>0.6 Significant</w:t>
            </w:r>
          </w:p>
        </w:tc>
        <w:tc>
          <w:tcPr>
            <w:tcW w:type="dxa" w:w="3108"/>
            <w:vAlign w:val="center"/>
          </w:tcPr>
          <w:p>
            <w:pPr>
              <w:spacing w:after="0" w:before="0"/>
            </w:pPr>
            <w:r>
              <w:rPr>
                <w:rFonts w:ascii="Times New Roman" w:hAnsi="Times New Roman"/>
                <w:sz w:val="12"/>
              </w:rPr>
              <w:t>The NDC includes electric mobility, vehicle-efficiency, public-transport and modal measures, but no quantified total transport-emissions or national EV-sales target.</w:t>
            </w:r>
          </w:p>
        </w:tc>
        <w:tc>
          <w:tcPr>
            <w:tcW w:type="dxa" w:w="3108"/>
            <w:vAlign w:val="center"/>
          </w:tcPr>
          <w:p>
            <w:pPr>
              <w:spacing w:after="0" w:before="0"/>
            </w:pPr>
            <w:r>
              <w:rPr>
                <w:rFonts w:ascii="Times New Roman" w:hAnsi="Times New Roman"/>
                <w:sz w:val="12"/>
              </w:rPr>
              <w:t>The original class is retained, but the score should be interpreted as checklist-based rather than an arithmetic gap.</w:t>
            </w:r>
          </w:p>
        </w:tc>
      </w:tr>
      <w:tr>
        <w:tc>
          <w:tcPr>
            <w:tcW w:type="dxa" w:w="3108"/>
            <w:vAlign w:val="center"/>
          </w:tcPr>
          <w:p>
            <w:pPr>
              <w:spacing w:after="0" w:before="0"/>
            </w:pPr>
            <w:r>
              <w:rPr>
                <w:rFonts w:ascii="Times New Roman" w:hAnsi="Times New Roman"/>
                <w:sz w:val="12"/>
              </w:rPr>
              <w:t>Russian Federation</w:t>
            </w:r>
          </w:p>
        </w:tc>
        <w:tc>
          <w:tcPr>
            <w:tcW w:type="dxa" w:w="3108"/>
            <w:vAlign w:val="center"/>
          </w:tcPr>
          <w:p>
            <w:pPr>
              <w:spacing w:after="0" w:before="0"/>
            </w:pPr>
            <w:r>
              <w:rPr>
                <w:rFonts w:ascii="Times New Roman" w:hAnsi="Times New Roman"/>
                <w:sz w:val="12"/>
              </w:rPr>
              <w:t>0.7 Significant</w:t>
            </w:r>
          </w:p>
        </w:tc>
        <w:tc>
          <w:tcPr>
            <w:tcW w:type="dxa" w:w="3108"/>
            <w:vAlign w:val="center"/>
          </w:tcPr>
          <w:p>
            <w:pPr>
              <w:spacing w:after="0" w:before="0"/>
            </w:pPr>
            <w:r>
              <w:rPr>
                <w:rFonts w:ascii="Times New Roman" w:hAnsi="Times New Roman"/>
                <w:sz w:val="12"/>
              </w:rPr>
              <w:t>1 Absent</w:t>
            </w:r>
          </w:p>
        </w:tc>
        <w:tc>
          <w:tcPr>
            <w:tcW w:type="dxa" w:w="3108"/>
            <w:vAlign w:val="center"/>
          </w:tcPr>
          <w:p>
            <w:pPr>
              <w:spacing w:after="0" w:before="0"/>
            </w:pPr>
            <w:r>
              <w:rPr>
                <w:rFonts w:ascii="Times New Roman" w:hAnsi="Times New Roman"/>
                <w:sz w:val="12"/>
              </w:rPr>
              <w:t>The NDC states an economy-wide 2030 target and broad mitigation policies but does not identify a transport-sector emissions, vehicle or modal-shift commitment.</w:t>
            </w:r>
          </w:p>
        </w:tc>
        <w:tc>
          <w:tcPr>
            <w:tcW w:type="dxa" w:w="3108"/>
            <w:vAlign w:val="center"/>
          </w:tcPr>
          <w:p>
            <w:pPr>
              <w:spacing w:after="0" w:before="0"/>
            </w:pPr>
            <w:r>
              <w:rPr>
                <w:rFonts w:ascii="Times New Roman" w:hAnsi="Times New Roman"/>
                <w:sz w:val="12"/>
              </w:rPr>
              <w:t>The existing Significant label lacks a transport-specific evidence basis in the submitted NDC.</w:t>
            </w:r>
          </w:p>
        </w:tc>
      </w:tr>
      <w:tr>
        <w:tc>
          <w:tcPr>
            <w:tcW w:type="dxa" w:w="3108"/>
            <w:vAlign w:val="center"/>
          </w:tcPr>
          <w:p>
            <w:pPr>
              <w:spacing w:after="0" w:before="0"/>
            </w:pPr>
            <w:r>
              <w:rPr>
                <w:rFonts w:ascii="Times New Roman" w:hAnsi="Times New Roman"/>
                <w:sz w:val="12"/>
              </w:rPr>
              <w:t>Saudi Arabia</w:t>
            </w:r>
          </w:p>
        </w:tc>
        <w:tc>
          <w:tcPr>
            <w:tcW w:type="dxa" w:w="3108"/>
            <w:vAlign w:val="center"/>
          </w:tcPr>
          <w:p>
            <w:pPr>
              <w:spacing w:after="0" w:before="0"/>
            </w:pPr>
            <w:r>
              <w:rPr>
                <w:rFonts w:ascii="Times New Roman" w:hAnsi="Times New Roman"/>
                <w:sz w:val="12"/>
              </w:rPr>
              <w:t>1 Absent</w:t>
            </w:r>
          </w:p>
        </w:tc>
        <w:tc>
          <w:tcPr>
            <w:tcW w:type="dxa" w:w="3108"/>
            <w:vAlign w:val="center"/>
          </w:tcPr>
          <w:p>
            <w:pPr>
              <w:spacing w:after="0" w:before="0"/>
            </w:pPr>
            <w:r>
              <w:rPr>
                <w:rFonts w:ascii="Times New Roman" w:hAnsi="Times New Roman"/>
                <w:sz w:val="12"/>
              </w:rPr>
              <w:t>0.6 Significant</w:t>
            </w:r>
          </w:p>
        </w:tc>
        <w:tc>
          <w:tcPr>
            <w:tcW w:type="dxa" w:w="3108"/>
            <w:vAlign w:val="center"/>
          </w:tcPr>
          <w:p>
            <w:pPr>
              <w:spacing w:after="0" w:before="0"/>
            </w:pPr>
            <w:r>
              <w:rPr>
                <w:rFonts w:ascii="Times New Roman" w:hAnsi="Times New Roman"/>
                <w:sz w:val="12"/>
              </w:rPr>
              <w:t>The NDC identifies vehicle-efficiency standards, retirement of inefficient vehicles, mass-transit, rail and bus-network measures, but provides no quantified total transport-sector target.</w:t>
            </w:r>
          </w:p>
        </w:tc>
        <w:tc>
          <w:tcPr>
            <w:tcW w:type="dxa" w:w="3108"/>
            <w:vAlign w:val="center"/>
          </w:tcPr>
          <w:p>
            <w:pPr>
              <w:spacing w:after="0" w:before="0"/>
            </w:pPr>
            <w:r>
              <w:rPr>
                <w:rFonts w:ascii="Times New Roman" w:hAnsi="Times New Roman"/>
                <w:sz w:val="12"/>
              </w:rPr>
              <w:t>The original Absent label is not supported because explicit transport mitigation measures are present.</w:t>
            </w:r>
          </w:p>
        </w:tc>
      </w:tr>
      <w:tr>
        <w:tc>
          <w:tcPr>
            <w:tcW w:type="dxa" w:w="3108"/>
            <w:vAlign w:val="center"/>
          </w:tcPr>
          <w:p>
            <w:pPr>
              <w:spacing w:after="0" w:before="0"/>
            </w:pPr>
            <w:r>
              <w:rPr>
                <w:rFonts w:ascii="Times New Roman" w:hAnsi="Times New Roman"/>
                <w:sz w:val="12"/>
              </w:rPr>
              <w:t>South Africa</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0.6 Significant</w:t>
            </w:r>
          </w:p>
        </w:tc>
        <w:tc>
          <w:tcPr>
            <w:tcW w:type="dxa" w:w="3108"/>
            <w:vAlign w:val="center"/>
          </w:tcPr>
          <w:p>
            <w:pPr>
              <w:spacing w:after="0" w:before="0"/>
            </w:pPr>
            <w:r>
              <w:rPr>
                <w:rFonts w:ascii="Times New Roman" w:hAnsi="Times New Roman"/>
                <w:sz w:val="12"/>
              </w:rPr>
              <w:t>The NDC references the Green Transport Strategy, bus rapid transit, road-to-rail shifts and preparation for vehicle decarbonisation, but does not contain a quantified 2030 transport-sector target.</w:t>
            </w:r>
          </w:p>
        </w:tc>
        <w:tc>
          <w:tcPr>
            <w:tcW w:type="dxa" w:w="3108"/>
            <w:vAlign w:val="center"/>
          </w:tcPr>
          <w:p>
            <w:pPr>
              <w:spacing w:after="0" w:before="0"/>
            </w:pPr>
            <w:r>
              <w:rPr>
                <w:rFonts w:ascii="Times New Roman" w:hAnsi="Times New Roman"/>
                <w:sz w:val="12"/>
              </w:rPr>
              <w:t>The evidence does not support the original Aligned label.</w:t>
            </w:r>
          </w:p>
        </w:tc>
      </w:tr>
      <w:tr>
        <w:tc>
          <w:tcPr>
            <w:tcW w:type="dxa" w:w="3108"/>
            <w:vAlign w:val="center"/>
          </w:tcPr>
          <w:p>
            <w:pPr>
              <w:spacing w:after="0" w:before="0"/>
            </w:pPr>
            <w:r>
              <w:rPr>
                <w:rFonts w:ascii="Times New Roman" w:hAnsi="Times New Roman"/>
                <w:sz w:val="12"/>
              </w:rPr>
              <w:t>South Korea</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0.4 Significant</w:t>
            </w:r>
          </w:p>
        </w:tc>
        <w:tc>
          <w:tcPr>
            <w:tcW w:type="dxa" w:w="3108"/>
            <w:vAlign w:val="center"/>
          </w:tcPr>
          <w:p>
            <w:pPr>
              <w:spacing w:after="0" w:before="0"/>
            </w:pPr>
            <w:r>
              <w:rPr>
                <w:rFonts w:ascii="Times New Roman" w:hAnsi="Times New Roman"/>
                <w:sz w:val="12"/>
              </w:rPr>
              <w:t>The 2021 NDC provides a specific 2030 transport-sector emissions level and an approximately 37.8% reduction from 2018, supported by clean-vehicle and demand-management measures. The IPCC reference is for 2050.</w:t>
            </w:r>
          </w:p>
        </w:tc>
        <w:tc>
          <w:tcPr>
            <w:tcW w:type="dxa" w:w="3108"/>
            <w:vAlign w:val="center"/>
          </w:tcPr>
          <w:p>
            <w:pPr>
              <w:spacing w:after="0" w:before="0"/>
            </w:pPr>
            <w:r>
              <w:rPr>
                <w:rFonts w:ascii="Times New Roman" w:hAnsi="Times New Roman"/>
                <w:sz w:val="12"/>
              </w:rPr>
              <w:t>A strong and specific target is present, but a same-year pathway comparison is unavailable.</w:t>
            </w:r>
          </w:p>
        </w:tc>
      </w:tr>
      <w:tr>
        <w:tc>
          <w:tcPr>
            <w:tcW w:type="dxa" w:w="3108"/>
            <w:vAlign w:val="center"/>
          </w:tcPr>
          <w:p>
            <w:pPr>
              <w:spacing w:after="0" w:before="0"/>
            </w:pPr>
            <w:r>
              <w:rPr>
                <w:rFonts w:ascii="Times New Roman" w:hAnsi="Times New Roman"/>
                <w:sz w:val="12"/>
              </w:rPr>
              <w:t>Türkiye</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0.4 Significant</w:t>
            </w:r>
          </w:p>
        </w:tc>
        <w:tc>
          <w:tcPr>
            <w:tcW w:type="dxa" w:w="3108"/>
            <w:vAlign w:val="center"/>
          </w:tcPr>
          <w:p>
            <w:pPr>
              <w:spacing w:after="0" w:before="0"/>
            </w:pPr>
            <w:r>
              <w:rPr>
                <w:rFonts w:ascii="Times New Roman" w:hAnsi="Times New Roman"/>
                <w:sz w:val="12"/>
              </w:rPr>
              <w:t>The NDC includes dated passenger- and freight-rail modal-share targets and measures for rail investment, electrification and low-carbon transport. Modal share is not directly convertible to total transport emissions without a model.</w:t>
            </w:r>
          </w:p>
        </w:tc>
        <w:tc>
          <w:tcPr>
            <w:tcW w:type="dxa" w:w="3108"/>
            <w:vAlign w:val="center"/>
          </w:tcPr>
          <w:p>
            <w:pPr>
              <w:spacing w:after="0" w:before="0"/>
            </w:pPr>
            <w:r>
              <w:rPr>
                <w:rFonts w:ascii="Times New Roman" w:hAnsi="Times New Roman"/>
                <w:sz w:val="12"/>
              </w:rPr>
              <w:t>The evidence supports a strong Significant screening label, not direct alignment.</w:t>
            </w:r>
          </w:p>
        </w:tc>
      </w:tr>
      <w:tr>
        <w:tc>
          <w:tcPr>
            <w:tcW w:type="dxa" w:w="3108"/>
            <w:vAlign w:val="center"/>
          </w:tcPr>
          <w:p>
            <w:pPr>
              <w:spacing w:after="0" w:before="0"/>
            </w:pPr>
            <w:r>
              <w:rPr>
                <w:rFonts w:ascii="Times New Roman" w:hAnsi="Times New Roman"/>
                <w:sz w:val="12"/>
              </w:rPr>
              <w:t>United Kingdom</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0.4 Significant</w:t>
            </w:r>
          </w:p>
        </w:tc>
        <w:tc>
          <w:tcPr>
            <w:tcW w:type="dxa" w:w="3108"/>
            <w:vAlign w:val="center"/>
          </w:tcPr>
          <w:p>
            <w:pPr>
              <w:spacing w:after="0" w:before="0"/>
            </w:pPr>
            <w:r>
              <w:rPr>
                <w:rFonts w:ascii="Times New Roman" w:hAnsi="Times New Roman"/>
                <w:sz w:val="12"/>
              </w:rPr>
              <w:t>The NDC and transport plan specify the phase-out of new petrol and diesel cars and vans by 2030 and zero tailpipe emissions for new cars and vans by 2035, with implementation measures. The target is vehicle sales, not total transport emissions.</w:t>
            </w:r>
          </w:p>
        </w:tc>
        <w:tc>
          <w:tcPr>
            <w:tcW w:type="dxa" w:w="3108"/>
            <w:vAlign w:val="center"/>
          </w:tcPr>
          <w:p>
            <w:pPr>
              <w:spacing w:after="0" w:before="0"/>
            </w:pPr>
            <w:r>
              <w:rPr>
                <w:rFonts w:ascii="Times New Roman" w:hAnsi="Times New Roman"/>
                <w:sz w:val="12"/>
              </w:rPr>
              <w:t>The commitment is strong but does not justify a directly comparable Aligned label under the paper's D6 rule.</w:t>
            </w:r>
          </w:p>
        </w:tc>
      </w:tr>
      <w:tr>
        <w:tc>
          <w:tcPr>
            <w:tcW w:type="dxa" w:w="3108"/>
            <w:vAlign w:val="center"/>
          </w:tcPr>
          <w:p>
            <w:pPr>
              <w:spacing w:after="0" w:before="0"/>
            </w:pPr>
            <w:r>
              <w:rPr>
                <w:rFonts w:ascii="Times New Roman" w:hAnsi="Times New Roman"/>
                <w:sz w:val="12"/>
              </w:rPr>
              <w:t>United States</w:t>
            </w:r>
          </w:p>
        </w:tc>
        <w:tc>
          <w:tcPr>
            <w:tcW w:type="dxa" w:w="3108"/>
            <w:vAlign w:val="center"/>
          </w:tcPr>
          <w:p>
            <w:pPr>
              <w:spacing w:after="0" w:before="0"/>
            </w:pPr>
            <w:r>
              <w:rPr>
                <w:rFonts w:ascii="Times New Roman" w:hAnsi="Times New Roman"/>
                <w:sz w:val="12"/>
              </w:rPr>
              <w:t>0 Aligned</w:t>
            </w:r>
          </w:p>
        </w:tc>
        <w:tc>
          <w:tcPr>
            <w:tcW w:type="dxa" w:w="3108"/>
            <w:vAlign w:val="center"/>
          </w:tcPr>
          <w:p>
            <w:pPr>
              <w:spacing w:after="0" w:before="0"/>
            </w:pPr>
            <w:r>
              <w:rPr>
                <w:rFonts w:ascii="Times New Roman" w:hAnsi="Times New Roman"/>
                <w:sz w:val="12"/>
              </w:rPr>
              <w:t>0.6 Significant</w:t>
            </w:r>
          </w:p>
        </w:tc>
        <w:tc>
          <w:tcPr>
            <w:tcW w:type="dxa" w:w="3108"/>
            <w:vAlign w:val="center"/>
          </w:tcPr>
          <w:p>
            <w:pPr>
              <w:spacing w:after="0" w:before="0"/>
            </w:pPr>
            <w:r>
              <w:rPr>
                <w:rFonts w:ascii="Times New Roman" w:hAnsi="Times New Roman"/>
                <w:sz w:val="12"/>
              </w:rPr>
              <w:t>The NDC describes vehicle-emissions standards, ZEV incentives and charging, transit investment, and low-carbon aviation and marine fuels, but does not state one quantified total transport-sector target.</w:t>
            </w:r>
          </w:p>
        </w:tc>
        <w:tc>
          <w:tcPr>
            <w:tcW w:type="dxa" w:w="3108"/>
            <w:vAlign w:val="center"/>
          </w:tcPr>
          <w:p>
            <w:pPr>
              <w:spacing w:after="0" w:before="0"/>
            </w:pPr>
            <w:r>
              <w:rPr>
                <w:rFonts w:ascii="Times New Roman" w:hAnsi="Times New Roman"/>
                <w:sz w:val="12"/>
              </w:rPr>
              <w:t>The original Aligned label is too generous; Significant is the defensible screening outcome.</w:t>
            </w:r>
          </w:p>
        </w:tc>
      </w:tr>
    </w:tbl>
    <w:p>
      <w:r>
        <w:t>The full audit workbook, including official source URLs, evidence excerpts, confidence and rationales, is supplied as D6_Transport_17_Cell_Cutoff_Recheck.xlsx in Archive S1.</w:t>
      </w:r>
    </w:p>
    <w:p>
      <w:pPr>
        <w:pStyle w:val="Heading1"/>
      </w:pPr>
      <w:r>
        <w:t>S15. Repository Contents and Reproducibility Status</w:t>
      </w:r>
    </w:p>
    <w:p>
      <w:r>
        <w:t>Supplementary Archive S1 is an upload-ready anonymised review repository. It contains the question set and reviewer outcomes; original and reporting heatmap matrices; heatmap evidence excerpts; formal and diagnostic review files; D6 audit; prompt templates; figures; scoring scripts; and bootstrap-analysis code.</w:t>
      </w:r>
    </w:p>
    <w:tbl>
      <w:tblPr>
        <w:tblW w:type="auto" w:w="0"/>
        <w:jc w:val="center"/>
        <w:tblLook w:firstColumn="1" w:firstRow="1" w:lastColumn="0" w:lastRow="0" w:noHBand="0" w:noVBand="1" w:val="04A0"/>
      </w:tblPr>
      <w:tblGrid>
        <w:gridCol w:w="7771"/>
        <w:gridCol w:w="7771"/>
      </w:tblGrid>
      <w:tr>
        <w:trPr>
          <w:tblHeader w:val="true"/>
        </w:trPr>
        <w:tc>
          <w:tcPr>
            <w:tcW w:type="dxa" w:w="7771"/>
            <w:vAlign w:val="center"/>
          </w:tcPr>
          <w:p>
            <w:pPr>
              <w:spacing w:after="0" w:before="0"/>
            </w:pPr>
            <w:r>
              <w:rPr>
                <w:rFonts w:ascii="Times New Roman" w:hAnsi="Times New Roman"/>
                <w:sz w:val="15"/>
              </w:rPr>
              <w:t>Repository path</w:t>
            </w:r>
          </w:p>
        </w:tc>
        <w:tc>
          <w:tcPr>
            <w:tcW w:type="dxa" w:w="7771"/>
            <w:vAlign w:val="center"/>
          </w:tcPr>
          <w:p>
            <w:pPr>
              <w:spacing w:after="0" w:before="0"/>
            </w:pPr>
            <w:r>
              <w:rPr>
                <w:rFonts w:ascii="Times New Roman" w:hAnsi="Times New Roman"/>
                <w:sz w:val="15"/>
              </w:rPr>
              <w:t>Purpose</w:t>
            </w:r>
          </w:p>
        </w:tc>
      </w:tr>
      <w:tr>
        <w:tc>
          <w:tcPr>
            <w:tcW w:type="dxa" w:w="7771"/>
            <w:vAlign w:val="center"/>
          </w:tcPr>
          <w:p>
            <w:pPr>
              <w:spacing w:after="0" w:before="0"/>
            </w:pPr>
            <w:r>
              <w:rPr>
                <w:rFonts w:ascii="Times New Roman" w:hAnsi="Times New Roman"/>
                <w:sz w:val="15"/>
              </w:rPr>
              <w:t>data/questions/</w:t>
            </w:r>
          </w:p>
        </w:tc>
        <w:tc>
          <w:tcPr>
            <w:tcW w:type="dxa" w:w="7771"/>
            <w:vAlign w:val="center"/>
          </w:tcPr>
          <w:p>
            <w:pPr>
              <w:spacing w:after="0" w:before="0"/>
            </w:pPr>
            <w:r>
              <w:rPr>
                <w:rFonts w:ascii="Times New Roman" w:hAnsi="Times New Roman"/>
                <w:sz w:val="15"/>
              </w:rPr>
              <w:t>80 questions, author-prepared references, reviewer answers and Full/Partial/None outcomes</w:t>
            </w:r>
          </w:p>
        </w:tc>
      </w:tr>
      <w:tr>
        <w:tc>
          <w:tcPr>
            <w:tcW w:type="dxa" w:w="7771"/>
            <w:vAlign w:val="center"/>
          </w:tcPr>
          <w:p>
            <w:pPr>
              <w:spacing w:after="0" w:before="0"/>
            </w:pPr>
            <w:r>
              <w:rPr>
                <w:rFonts w:ascii="Times New Roman" w:hAnsi="Times New Roman"/>
                <w:sz w:val="15"/>
              </w:rPr>
              <w:t>data/heatmap/</w:t>
            </w:r>
          </w:p>
        </w:tc>
        <w:tc>
          <w:tcPr>
            <w:tcW w:type="dxa" w:w="7771"/>
            <w:vAlign w:val="center"/>
          </w:tcPr>
          <w:p>
            <w:pPr>
              <w:spacing w:after="0" w:before="0"/>
            </w:pPr>
            <w:r>
              <w:rPr>
                <w:rFonts w:ascii="Times New Roman" w:hAnsi="Times New Roman"/>
                <w:sz w:val="15"/>
              </w:rPr>
              <w:t>Original 119-cell outputs, D6-audited reporting matrix, evidence passages, formal eight-cell and diagnostic 35-cell files</w:t>
            </w:r>
          </w:p>
        </w:tc>
      </w:tr>
      <w:tr>
        <w:tc>
          <w:tcPr>
            <w:tcW w:type="dxa" w:w="7771"/>
            <w:vAlign w:val="center"/>
          </w:tcPr>
          <w:p>
            <w:pPr>
              <w:spacing w:after="0" w:before="0"/>
            </w:pPr>
            <w:r>
              <w:rPr>
                <w:rFonts w:ascii="Times New Roman" w:hAnsi="Times New Roman"/>
                <w:sz w:val="15"/>
              </w:rPr>
              <w:t>data/claims/</w:t>
            </w:r>
          </w:p>
        </w:tc>
        <w:tc>
          <w:tcPr>
            <w:tcW w:type="dxa" w:w="7771"/>
            <w:vAlign w:val="center"/>
          </w:tcPr>
          <w:p>
            <w:pPr>
              <w:spacing w:after="0" w:before="0"/>
            </w:pPr>
            <w:r>
              <w:rPr>
                <w:rFonts w:ascii="Times New Roman" w:hAnsi="Times New Roman"/>
                <w:sz w:val="15"/>
              </w:rPr>
              <w:t>Reported aggregate claim results and the schema required for atomic claim records</w:t>
            </w:r>
          </w:p>
        </w:tc>
      </w:tr>
      <w:tr>
        <w:tc>
          <w:tcPr>
            <w:tcW w:type="dxa" w:w="7771"/>
            <w:vAlign w:val="center"/>
          </w:tcPr>
          <w:p>
            <w:pPr>
              <w:spacing w:after="0" w:before="0"/>
            </w:pPr>
            <w:r>
              <w:rPr>
                <w:rFonts w:ascii="Times New Roman" w:hAnsi="Times New Roman"/>
                <w:sz w:val="15"/>
              </w:rPr>
              <w:t>data/outputs/</w:t>
            </w:r>
          </w:p>
        </w:tc>
        <w:tc>
          <w:tcPr>
            <w:tcW w:type="dxa" w:w="7771"/>
            <w:vAlign w:val="center"/>
          </w:tcPr>
          <w:p>
            <w:pPr>
              <w:spacing w:after="0" w:before="0"/>
            </w:pPr>
            <w:r>
              <w:rPr>
                <w:rFonts w:ascii="Times New Roman" w:hAnsi="Times New Roman"/>
                <w:sz w:val="15"/>
              </w:rPr>
              <w:t>Reported paired-ablation aggregates and the schema required for raw generation outputs</w:t>
            </w:r>
          </w:p>
        </w:tc>
      </w:tr>
      <w:tr>
        <w:tc>
          <w:tcPr>
            <w:tcW w:type="dxa" w:w="7771"/>
            <w:vAlign w:val="center"/>
          </w:tcPr>
          <w:p>
            <w:pPr>
              <w:spacing w:after="0" w:before="0"/>
            </w:pPr>
            <w:r>
              <w:rPr>
                <w:rFonts w:ascii="Times New Roman" w:hAnsi="Times New Roman"/>
                <w:sz w:val="15"/>
              </w:rPr>
              <w:t>prompts/</w:t>
            </w:r>
          </w:p>
        </w:tc>
        <w:tc>
          <w:tcPr>
            <w:tcW w:type="dxa" w:w="7771"/>
            <w:vAlign w:val="center"/>
          </w:tcPr>
          <w:p>
            <w:pPr>
              <w:spacing w:after="0" w:before="0"/>
            </w:pPr>
            <w:r>
              <w:rPr>
                <w:rFonts w:ascii="Times New Roman" w:hAnsi="Times New Roman"/>
                <w:sz w:val="15"/>
              </w:rPr>
              <w:t>RAG and no-RAG prompt templates</w:t>
            </w:r>
          </w:p>
        </w:tc>
      </w:tr>
      <w:tr>
        <w:tc>
          <w:tcPr>
            <w:tcW w:type="dxa" w:w="7771"/>
            <w:vAlign w:val="center"/>
          </w:tcPr>
          <w:p>
            <w:pPr>
              <w:spacing w:after="0" w:before="0"/>
            </w:pPr>
            <w:r>
              <w:rPr>
                <w:rFonts w:ascii="Times New Roman" w:hAnsi="Times New Roman"/>
                <w:sz w:val="15"/>
              </w:rPr>
              <w:t>scripts/</w:t>
            </w:r>
          </w:p>
        </w:tc>
        <w:tc>
          <w:tcPr>
            <w:tcW w:type="dxa" w:w="7771"/>
            <w:vAlign w:val="center"/>
          </w:tcPr>
          <w:p>
            <w:pPr>
              <w:spacing w:after="0" w:before="0"/>
            </w:pPr>
            <w:r>
              <w:rPr>
                <w:rFonts w:ascii="Times New Roman" w:hAnsi="Times New Roman"/>
                <w:sz w:val="15"/>
              </w:rPr>
              <w:t>Classification metrics, heatmap checks, bootstrap template and repository validation</w:t>
            </w:r>
          </w:p>
        </w:tc>
      </w:tr>
      <w:tr>
        <w:tc>
          <w:tcPr>
            <w:tcW w:type="dxa" w:w="7771"/>
            <w:vAlign w:val="center"/>
          </w:tcPr>
          <w:p>
            <w:pPr>
              <w:spacing w:after="0" w:before="0"/>
            </w:pPr>
            <w:r>
              <w:rPr>
                <w:rFonts w:ascii="Times New Roman" w:hAnsi="Times New Roman"/>
                <w:sz w:val="15"/>
              </w:rPr>
              <w:t>figures/</w:t>
            </w:r>
          </w:p>
        </w:tc>
        <w:tc>
          <w:tcPr>
            <w:tcW w:type="dxa" w:w="7771"/>
            <w:vAlign w:val="center"/>
          </w:tcPr>
          <w:p>
            <w:pPr>
              <w:spacing w:after="0" w:before="0"/>
            </w:pPr>
            <w:r>
              <w:rPr>
                <w:rFonts w:ascii="Times New Roman" w:hAnsi="Times New Roman"/>
                <w:sz w:val="15"/>
              </w:rPr>
              <w:t>System architecture and original/revised heatmap figures</w:t>
            </w:r>
          </w:p>
        </w:tc>
      </w:tr>
      <w:tr>
        <w:tc>
          <w:tcPr>
            <w:tcW w:type="dxa" w:w="7771"/>
            <w:vAlign w:val="center"/>
          </w:tcPr>
          <w:p>
            <w:pPr>
              <w:spacing w:after="0" w:before="0"/>
            </w:pPr>
            <w:r>
              <w:rPr>
                <w:rFonts w:ascii="Times New Roman" w:hAnsi="Times New Roman"/>
                <w:sz w:val="15"/>
              </w:rPr>
              <w:t>docs/</w:t>
            </w:r>
          </w:p>
        </w:tc>
        <w:tc>
          <w:tcPr>
            <w:tcW w:type="dxa" w:w="7771"/>
            <w:vAlign w:val="center"/>
          </w:tcPr>
          <w:p>
            <w:pPr>
              <w:spacing w:after="0" w:before="0"/>
            </w:pPr>
            <w:r>
              <w:rPr>
                <w:rFonts w:ascii="Times New Roman" w:hAnsi="Times New Roman"/>
                <w:sz w:val="15"/>
              </w:rPr>
              <w:t>Codebook, known limitations, anonymisation and upload instructions</w:t>
            </w:r>
          </w:p>
        </w:tc>
      </w:tr>
    </w:tbl>
    <w:p>
      <w:r>
        <w:t>Complete raw GPT-4o generation outputs and one-row-per-claim labels were not present in the available project files and were not reconstructed from aggregate statistics. Their schemas and missing-file status are included in the archive README.</w:t>
      </w:r>
    </w:p>
    <w:sectPr w:rsidR="000A3FB3">
      <w:pgSz w:w="16838" w:h="11906" w:orient="landscape"/>
      <w:pgMar w:top="648" w:right="648" w:bottom="648" w:left="648"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A666E4"/>
    <w:multiLevelType w:val="hybridMultilevel"/>
    <w:tmpl w:val="315E29A4"/>
    <w:lvl w:ilvl="0" w:tplc="F0720166">
      <w:start w:val="1"/>
      <w:numFmt w:val="decimal"/>
      <w:lvlText w:val="%1."/>
      <w:lvlJc w:val="left"/>
      <w:pPr>
        <w:ind w:left="720" w:hanging="360"/>
      </w:pPr>
      <w:rPr>
        <w:rFonts w:ascii="Times New Roman" w:eastAsia="Times New Roman" w:hAnsi="Times New Roman" w:cs="Times New Roman"/>
        <w:sz w:val="22"/>
        <w:szCs w:val="22"/>
      </w:rPr>
    </w:lvl>
    <w:lvl w:ilvl="1" w:tplc="06289EF8">
      <w:numFmt w:val="decimal"/>
      <w:lvlText w:val=""/>
      <w:lvlJc w:val="left"/>
    </w:lvl>
    <w:lvl w:ilvl="2" w:tplc="2A4A9BF8">
      <w:numFmt w:val="decimal"/>
      <w:lvlText w:val=""/>
      <w:lvlJc w:val="left"/>
    </w:lvl>
    <w:lvl w:ilvl="3" w:tplc="EFBE0CB8">
      <w:numFmt w:val="decimal"/>
      <w:lvlText w:val=""/>
      <w:lvlJc w:val="left"/>
    </w:lvl>
    <w:lvl w:ilvl="4" w:tplc="340AEF64">
      <w:numFmt w:val="decimal"/>
      <w:lvlText w:val=""/>
      <w:lvlJc w:val="left"/>
    </w:lvl>
    <w:lvl w:ilvl="5" w:tplc="7D5493D2">
      <w:numFmt w:val="decimal"/>
      <w:lvlText w:val=""/>
      <w:lvlJc w:val="left"/>
    </w:lvl>
    <w:lvl w:ilvl="6" w:tplc="59F6A370">
      <w:numFmt w:val="decimal"/>
      <w:lvlText w:val=""/>
      <w:lvlJc w:val="left"/>
    </w:lvl>
    <w:lvl w:ilvl="7" w:tplc="B08EE3B4">
      <w:numFmt w:val="decimal"/>
      <w:lvlText w:val=""/>
      <w:lvlJc w:val="left"/>
    </w:lvl>
    <w:lvl w:ilvl="8" w:tplc="300236A6">
      <w:numFmt w:val="decimal"/>
      <w:lvlText w:val=""/>
      <w:lvlJc w:val="left"/>
    </w:lvl>
  </w:abstractNum>
  <w:abstractNum w:abstractNumId="1" w15:restartNumberingAfterBreak="0">
    <w:nsid w:val="01BC40B0"/>
    <w:multiLevelType w:val="hybridMultilevel"/>
    <w:tmpl w:val="9B045D1A"/>
    <w:lvl w:ilvl="0" w:tplc="1F24F91E">
      <w:start w:val="1"/>
      <w:numFmt w:val="bullet"/>
      <w:lvlText w:val="●"/>
      <w:lvlJc w:val="left"/>
      <w:pPr>
        <w:ind w:left="720" w:hanging="360"/>
      </w:pPr>
    </w:lvl>
    <w:lvl w:ilvl="1" w:tplc="A04AADCE">
      <w:start w:val="1"/>
      <w:numFmt w:val="bullet"/>
      <w:lvlText w:val="○"/>
      <w:lvlJc w:val="left"/>
      <w:pPr>
        <w:ind w:left="1440" w:hanging="360"/>
      </w:pPr>
    </w:lvl>
    <w:lvl w:ilvl="2" w:tplc="4314CEAC">
      <w:start w:val="1"/>
      <w:numFmt w:val="bullet"/>
      <w:lvlText w:val="■"/>
      <w:lvlJc w:val="left"/>
      <w:pPr>
        <w:ind w:left="2160" w:hanging="360"/>
      </w:pPr>
    </w:lvl>
    <w:lvl w:ilvl="3" w:tplc="4D46EC40">
      <w:start w:val="1"/>
      <w:numFmt w:val="bullet"/>
      <w:lvlText w:val="●"/>
      <w:lvlJc w:val="left"/>
      <w:pPr>
        <w:ind w:left="2880" w:hanging="360"/>
      </w:pPr>
    </w:lvl>
    <w:lvl w:ilvl="4" w:tplc="EB140358">
      <w:start w:val="1"/>
      <w:numFmt w:val="bullet"/>
      <w:lvlText w:val="○"/>
      <w:lvlJc w:val="left"/>
      <w:pPr>
        <w:ind w:left="3600" w:hanging="360"/>
      </w:pPr>
    </w:lvl>
    <w:lvl w:ilvl="5" w:tplc="A4A6F3FE">
      <w:start w:val="1"/>
      <w:numFmt w:val="bullet"/>
      <w:lvlText w:val="■"/>
      <w:lvlJc w:val="left"/>
      <w:pPr>
        <w:ind w:left="4320" w:hanging="360"/>
      </w:pPr>
    </w:lvl>
    <w:lvl w:ilvl="6" w:tplc="05726772">
      <w:start w:val="1"/>
      <w:numFmt w:val="bullet"/>
      <w:lvlText w:val="●"/>
      <w:lvlJc w:val="left"/>
      <w:pPr>
        <w:ind w:left="5040" w:hanging="360"/>
      </w:pPr>
    </w:lvl>
    <w:lvl w:ilvl="7" w:tplc="01B61E46">
      <w:start w:val="1"/>
      <w:numFmt w:val="bullet"/>
      <w:lvlText w:val="●"/>
      <w:lvlJc w:val="left"/>
      <w:pPr>
        <w:ind w:left="5760" w:hanging="360"/>
      </w:pPr>
    </w:lvl>
    <w:lvl w:ilvl="8" w:tplc="EB907B7C">
      <w:start w:val="1"/>
      <w:numFmt w:val="bullet"/>
      <w:lvlText w:val="●"/>
      <w:lvlJc w:val="left"/>
      <w:pPr>
        <w:ind w:left="6480" w:hanging="360"/>
      </w:pPr>
    </w:lvl>
  </w:abstractNum>
  <w:abstractNum w:abstractNumId="2" w15:restartNumberingAfterBreak="0">
    <w:nsid w:val="6D7978B2"/>
    <w:multiLevelType w:val="hybridMultilevel"/>
    <w:tmpl w:val="1FB01166"/>
    <w:lvl w:ilvl="0" w:tplc="C78A88BA">
      <w:start w:val="1"/>
      <w:numFmt w:val="bullet"/>
      <w:lvlText w:val="•"/>
      <w:lvlJc w:val="left"/>
      <w:pPr>
        <w:ind w:left="720" w:hanging="360"/>
      </w:pPr>
      <w:rPr>
        <w:rFonts w:ascii="Times New Roman" w:eastAsia="Times New Roman" w:hAnsi="Times New Roman" w:cs="Times New Roman"/>
        <w:sz w:val="22"/>
        <w:szCs w:val="22"/>
      </w:rPr>
    </w:lvl>
    <w:lvl w:ilvl="1" w:tplc="D2E677B6">
      <w:numFmt w:val="decimal"/>
      <w:lvlText w:val=""/>
      <w:lvlJc w:val="left"/>
    </w:lvl>
    <w:lvl w:ilvl="2" w:tplc="EEC6D0C4">
      <w:numFmt w:val="decimal"/>
      <w:lvlText w:val=""/>
      <w:lvlJc w:val="left"/>
    </w:lvl>
    <w:lvl w:ilvl="3" w:tplc="6FA6C252">
      <w:numFmt w:val="decimal"/>
      <w:lvlText w:val=""/>
      <w:lvlJc w:val="left"/>
    </w:lvl>
    <w:lvl w:ilvl="4" w:tplc="5CF21C3E">
      <w:numFmt w:val="decimal"/>
      <w:lvlText w:val=""/>
      <w:lvlJc w:val="left"/>
    </w:lvl>
    <w:lvl w:ilvl="5" w:tplc="D2DA8AC2">
      <w:numFmt w:val="decimal"/>
      <w:lvlText w:val=""/>
      <w:lvlJc w:val="left"/>
    </w:lvl>
    <w:lvl w:ilvl="6" w:tplc="B12C8B50">
      <w:numFmt w:val="decimal"/>
      <w:lvlText w:val=""/>
      <w:lvlJc w:val="left"/>
    </w:lvl>
    <w:lvl w:ilvl="7" w:tplc="24D2D47A">
      <w:numFmt w:val="decimal"/>
      <w:lvlText w:val=""/>
      <w:lvlJc w:val="left"/>
    </w:lvl>
    <w:lvl w:ilvl="8" w:tplc="08923BD0">
      <w:numFmt w:val="decimal"/>
      <w:lvlText w:val=""/>
      <w:lvlJc w:val="left"/>
    </w:lvl>
  </w:abstractNum>
  <w:abstractNum w:abstractNumId="3" w15:restartNumberingAfterBreak="0">
    <w:nsid w:val="78DF5A25"/>
    <w:multiLevelType w:val="multilevel"/>
    <w:tmpl w:val="3048A7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34207932">
    <w:abstractNumId w:val="1"/>
    <w:lvlOverride w:ilvl="0">
      <w:startOverride w:val="1"/>
    </w:lvlOverride>
  </w:num>
  <w:num w:numId="2" w16cid:durableId="95567733">
    <w:abstractNumId w:val="0"/>
    <w:lvlOverride w:ilvl="0">
      <w:startOverride w:val="1"/>
    </w:lvlOverride>
  </w:num>
  <w:num w:numId="3" w16cid:durableId="188247789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A3FB3"/>
    <w:rsid w:val="00080C81"/>
    <w:rsid w:val="000A3FB3"/>
    <w:rsid w:val="001513A6"/>
    <w:rsid w:val="001B30B7"/>
    <w:rsid w:val="00205B05"/>
    <w:rsid w:val="00210DD1"/>
    <w:rsid w:val="00250861"/>
    <w:rsid w:val="0025538A"/>
    <w:rsid w:val="002A08BE"/>
    <w:rsid w:val="002B1101"/>
    <w:rsid w:val="002F703B"/>
    <w:rsid w:val="00393B1E"/>
    <w:rsid w:val="00453A8F"/>
    <w:rsid w:val="004B0848"/>
    <w:rsid w:val="00566791"/>
    <w:rsid w:val="005F619D"/>
    <w:rsid w:val="00625AB1"/>
    <w:rsid w:val="006A4E38"/>
    <w:rsid w:val="006F6FFA"/>
    <w:rsid w:val="00785E06"/>
    <w:rsid w:val="00786156"/>
    <w:rsid w:val="00823515"/>
    <w:rsid w:val="008453B5"/>
    <w:rsid w:val="00A60C8D"/>
    <w:rsid w:val="00A9632E"/>
    <w:rsid w:val="00A973D3"/>
    <w:rsid w:val="00A97CEE"/>
    <w:rsid w:val="00AB78BC"/>
    <w:rsid w:val="00B35E8D"/>
    <w:rsid w:val="00BA19CE"/>
    <w:rsid w:val="00C80CC9"/>
    <w:rsid w:val="00D44F3B"/>
    <w:rsid w:val="00DE07D9"/>
    <w:rsid w:val="00EC0A81"/>
    <w:rsid w:val="00FB06FC"/>
    <w:rsid w:val="00FB2D3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501D62"/>
  <w15:docId w15:val="{24FD5111-F852-4619-A5A1-27D8B31F982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hAnsi="Times New Roman"/>
      <w:sz w:val="18"/>
    </w:rPr>
  </w:style>
  <w:style w:type="paragraph" w:styleId="Heading1">
    <w:name w:val="heading 1"/>
    <w:uiPriority w:val="9"/>
    <w:qFormat/>
    <w:pPr>
      <w:spacing w:before="320" w:after="140"/>
      <w:outlineLvl w:val="0"/>
    </w:pPr>
    <w:rPr>
      <w:rFonts w:ascii="Times New Roman" w:eastAsia="Arial" w:hAnsi="Times New Roman" w:cs="Arial"/>
      <w:b/>
      <w:bCs/>
      <w:color w:val="1F3864"/>
      <w:sz w:val="28"/>
      <w:szCs w:val="26"/>
    </w:rPr>
  </w:style>
  <w:style w:type="paragraph" w:styleId="Heading2">
    <w:name w:val="heading 2"/>
    <w:uiPriority w:val="9"/>
    <w:unhideWhenUsed/>
    <w:qFormat/>
    <w:pPr>
      <w:spacing w:before="220" w:after="100"/>
      <w:outlineLvl w:val="1"/>
    </w:pPr>
    <w:rPr>
      <w:rFonts w:ascii="Times New Roman" w:eastAsia="Arial" w:hAnsi="Times New Roman" w:cs="Arial"/>
      <w:b/>
      <w:bCs/>
      <w:color w:val="2E6099"/>
      <w:sz w:val="24"/>
      <w:szCs w:val="23"/>
    </w:rPr>
  </w:style>
  <w:style w:type="paragraph" w:styleId="Heading3">
    <w:name w:val="heading 3"/>
    <w:uiPriority w:val="9"/>
    <w:semiHidden/>
    <w:unhideWhenUsed/>
    <w:qFormat/>
    <w:pPr>
      <w:outlineLvl w:val="2"/>
    </w:pPr>
    <w:rPr>
      <w:rFonts w:ascii="Times New Roman" w:hAnsi="Times New Roman"/>
      <w:color w:val="1F4D78"/>
      <w:sz w:val="21"/>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rFonts w:ascii="Times New Roman" w:hAnsi="Times New Roman"/>
      <w:sz w:val="32"/>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UnresolvedMention">
    <w:name w:val="Unresolved Mention"/>
    <w:basedOn w:val="DefaultParagraphFont"/>
    <w:uiPriority w:val="99"/>
    <w:semiHidden/>
    <w:unhideWhenUsed/>
    <w:rsid w:val="00250861"/>
    <w:rPr>
      <w:color w:val="605E5C"/>
      <w:shd w:val="clear" w:color="auto" w:fill="E1DFDD"/>
    </w:rPr>
  </w:style>
  <w:style w:type="paragraph" w:customStyle="1" w:styleId="FigureCaption">
    <w:name w:val="Figure Caption"/>
    <w:basedOn w:val="Normal"/>
    <w:pPr>
      <w:keepLines/>
      <w:spacing w:before="60" w:after="160"/>
      <w:jc w:val="center"/>
    </w:pPr>
    <w:rPr>
      <w:i/>
      <w:color w:val="282828"/>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 Id="rId10"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3C3C707-3EF9-40CC-83B5-0CC47956CF2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652</TotalTime>
  <Pages>32</Pages>
  <Words>14381</Words>
  <Characters>81975</Characters>
  <Application>Microsoft Office Word</Application>
  <DocSecurity>0</DocSecurity>
  <Lines>683</Lines>
  <Paragraphs>192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96164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Ritabrata Chakraborty</cp:lastModifiedBy>
  <cp:revision>29</cp:revision>
  <dcterms:created xsi:type="dcterms:W3CDTF">2026-07-08T07:47:00Z</dcterms:created>
  <dcterms:modified xsi:type="dcterms:W3CDTF">2026-08-21T14:18:00Z</dcterms:modified>
  <dc:title>Supplementary Material: Evidence-Grounded RAG for G20 Climate-Policy Retrieval, Cited Synthesis and Human-Supervised Gap Screening</dc:title>
  <dc:subject>Detailed methods, matrices and audit records</dc:subject>
</cp:coreProperties>
</file>