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B7578" w14:textId="77777777" w:rsidR="00347E89" w:rsidRDefault="009F7926">
      <w:pPr>
        <w:spacing w:before="2200"/>
        <w:jc w:val="center"/>
      </w:pPr>
      <w:r>
        <w:rPr>
          <w:b/>
          <w:sz w:val="64"/>
        </w:rPr>
        <w:t>SUPPLY CHAIN</w:t>
      </w:r>
      <w:r>
        <w:rPr>
          <w:b/>
          <w:sz w:val="64"/>
        </w:rPr>
        <w:br/>
        <w:t>ANALYTICS</w:t>
      </w:r>
    </w:p>
    <w:p w14:paraId="1CC6492C" w14:textId="77777777" w:rsidR="00347E89" w:rsidRDefault="009F7926">
      <w:pPr>
        <w:jc w:val="center"/>
      </w:pPr>
      <w:r>
        <w:rPr>
          <w:color w:val="4F6D7A"/>
          <w:sz w:val="34"/>
        </w:rPr>
        <w:t>Delivery Performance &amp; Late Delivery Prediction</w:t>
      </w:r>
    </w:p>
    <w:p w14:paraId="7DF1E8E2" w14:textId="77777777" w:rsidR="00347E89" w:rsidRDefault="009F7926">
      <w:pPr>
        <w:jc w:val="center"/>
      </w:pPr>
      <w:r>
        <w:rPr>
          <w:color w:val="6B8F71"/>
          <w:sz w:val="22"/>
        </w:rPr>
        <w:t>Executive Business Analysis</w:t>
      </w:r>
    </w:p>
    <w:p w14:paraId="44802661" w14:textId="77777777" w:rsidR="00347E89" w:rsidRDefault="00347E89"/>
    <w:tbl>
      <w:tblPr>
        <w:tblW w:w="5000" w:type="pct"/>
        <w:jc w:val="center"/>
        <w:tblBorders>
          <w:top w:val="nil"/>
          <w:left w:val="nil"/>
          <w:bottom w:val="nil"/>
          <w:right w:val="nil"/>
          <w:insideH w:val="nil"/>
          <w:insideV w:val="nil"/>
        </w:tblBorders>
        <w:tblLook w:val="04A0" w:firstRow="1" w:lastRow="0" w:firstColumn="1" w:lastColumn="0" w:noHBand="0" w:noVBand="1"/>
      </w:tblPr>
      <w:tblGrid>
        <w:gridCol w:w="2484"/>
        <w:gridCol w:w="2484"/>
        <w:gridCol w:w="2484"/>
        <w:gridCol w:w="2484"/>
      </w:tblGrid>
      <w:tr w:rsidR="00347E89" w14:paraId="6BC76183" w14:textId="77777777" w:rsidTr="007562C2">
        <w:trPr>
          <w:jc w:val="center"/>
        </w:trPr>
        <w:tc>
          <w:tcPr>
            <w:tcW w:w="1250" w:type="pct"/>
            <w:tcBorders>
              <w:right w:val="single" w:sz="12" w:space="0" w:color="auto"/>
            </w:tcBorders>
          </w:tcPr>
          <w:p w14:paraId="034D2FE2" w14:textId="77777777" w:rsidR="00347E89" w:rsidRDefault="009F7926">
            <w:pPr>
              <w:jc w:val="center"/>
            </w:pPr>
            <w:r>
              <w:rPr>
                <w:b/>
                <w:color w:val="4F6D7A"/>
                <w:sz w:val="40"/>
              </w:rPr>
              <w:t>180,518</w:t>
            </w:r>
          </w:p>
          <w:p w14:paraId="4332A002" w14:textId="77777777" w:rsidR="00347E89" w:rsidRDefault="009F7926">
            <w:pPr>
              <w:jc w:val="center"/>
            </w:pPr>
            <w:r>
              <w:rPr>
                <w:b/>
                <w:color w:val="7A858A"/>
                <w:sz w:val="16"/>
              </w:rPr>
              <w:t>ORDERS ANALYZED</w:t>
            </w:r>
          </w:p>
        </w:tc>
        <w:tc>
          <w:tcPr>
            <w:tcW w:w="1250" w:type="pct"/>
            <w:tcBorders>
              <w:left w:val="single" w:sz="12" w:space="0" w:color="auto"/>
              <w:right w:val="single" w:sz="12" w:space="0" w:color="auto"/>
            </w:tcBorders>
          </w:tcPr>
          <w:p w14:paraId="08313B55" w14:textId="77777777" w:rsidR="00347E89" w:rsidRDefault="009F7926">
            <w:pPr>
              <w:jc w:val="center"/>
            </w:pPr>
            <w:r>
              <w:rPr>
                <w:b/>
                <w:color w:val="4F6D7A"/>
                <w:sz w:val="40"/>
              </w:rPr>
              <w:t>57.3%</w:t>
            </w:r>
          </w:p>
          <w:p w14:paraId="63BDE4BF" w14:textId="77777777" w:rsidR="00347E89" w:rsidRDefault="009F7926">
            <w:pPr>
              <w:jc w:val="center"/>
            </w:pPr>
            <w:r>
              <w:rPr>
                <w:b/>
                <w:color w:val="7A858A"/>
                <w:sz w:val="16"/>
              </w:rPr>
              <w:t>DELAY RATE</w:t>
            </w:r>
          </w:p>
        </w:tc>
        <w:tc>
          <w:tcPr>
            <w:tcW w:w="1250" w:type="pct"/>
            <w:tcBorders>
              <w:left w:val="single" w:sz="12" w:space="0" w:color="auto"/>
              <w:right w:val="single" w:sz="12" w:space="0" w:color="auto"/>
            </w:tcBorders>
          </w:tcPr>
          <w:p w14:paraId="06FD6E6C" w14:textId="77777777" w:rsidR="00347E89" w:rsidRDefault="009F7926">
            <w:pPr>
              <w:jc w:val="center"/>
            </w:pPr>
            <w:r>
              <w:rPr>
                <w:b/>
                <w:color w:val="4F6D7A"/>
                <w:sz w:val="40"/>
              </w:rPr>
              <w:t>1 day</w:t>
            </w:r>
          </w:p>
          <w:p w14:paraId="4381E273" w14:textId="77777777" w:rsidR="00347E89" w:rsidRDefault="009F7926">
            <w:pPr>
              <w:jc w:val="center"/>
            </w:pPr>
            <w:r>
              <w:rPr>
                <w:b/>
                <w:color w:val="7A858A"/>
                <w:sz w:val="16"/>
              </w:rPr>
              <w:t>MEDIAN DEVIATION</w:t>
            </w:r>
          </w:p>
        </w:tc>
        <w:tc>
          <w:tcPr>
            <w:tcW w:w="1250" w:type="pct"/>
            <w:tcBorders>
              <w:left w:val="single" w:sz="12" w:space="0" w:color="auto"/>
            </w:tcBorders>
          </w:tcPr>
          <w:p w14:paraId="68D93EF9" w14:textId="77777777" w:rsidR="00347E89" w:rsidRDefault="009F7926">
            <w:pPr>
              <w:jc w:val="center"/>
            </w:pPr>
            <w:r>
              <w:rPr>
                <w:b/>
                <w:color w:val="4F6D7A"/>
                <w:sz w:val="40"/>
              </w:rPr>
              <w:t>Decision Tree</w:t>
            </w:r>
          </w:p>
          <w:p w14:paraId="7151D78E" w14:textId="77777777" w:rsidR="00347E89" w:rsidRDefault="009F7926">
            <w:pPr>
              <w:jc w:val="center"/>
            </w:pPr>
            <w:r>
              <w:rPr>
                <w:b/>
                <w:color w:val="7A858A"/>
                <w:sz w:val="16"/>
              </w:rPr>
              <w:t>BEST MODEL</w:t>
            </w:r>
          </w:p>
        </w:tc>
      </w:tr>
    </w:tbl>
    <w:p w14:paraId="5AF4D367" w14:textId="77777777" w:rsidR="00347E89" w:rsidRDefault="009F7926">
      <w:pPr>
        <w:spacing w:before="800"/>
        <w:jc w:val="center"/>
      </w:pPr>
      <w:r>
        <w:rPr>
          <w:color w:val="7A858A"/>
          <w:sz w:val="18"/>
        </w:rPr>
        <w:t>Prepared from the DataCo Supply Chain dataset</w:t>
      </w:r>
    </w:p>
    <w:p w14:paraId="7D5EF726" w14:textId="77777777" w:rsidR="00347E89" w:rsidRDefault="009F7926">
      <w:r>
        <w:br w:type="page"/>
      </w:r>
    </w:p>
    <w:p w14:paraId="3F3C59C0" w14:textId="77777777" w:rsidR="00347E89" w:rsidRDefault="009F7926">
      <w:pPr>
        <w:pStyle w:val="Heading1"/>
      </w:pPr>
      <w:r>
        <w:lastRenderedPageBreak/>
        <w:t>Contents</w:t>
      </w:r>
    </w:p>
    <w:p w14:paraId="094BF8CA" w14:textId="77777777" w:rsidR="00347E89" w:rsidRDefault="009F7926">
      <w:pPr>
        <w:spacing w:after="160"/>
      </w:pPr>
      <w:r>
        <w:rPr>
          <w:color w:val="6B8F71"/>
          <w:sz w:val="14"/>
        </w:rPr>
        <w:t>────────────────────────────────────────────────────────</w:t>
      </w:r>
    </w:p>
    <w:p w14:paraId="42940F49" w14:textId="77777777" w:rsidR="00347E89" w:rsidRDefault="009F7926">
      <w:r>
        <w:t>01  Executive Summary</w:t>
      </w:r>
    </w:p>
    <w:p w14:paraId="451B3C4F" w14:textId="77777777" w:rsidR="00347E89" w:rsidRDefault="009F7926">
      <w:r>
        <w:t>02  Business Context &amp; Objectives</w:t>
      </w:r>
    </w:p>
    <w:p w14:paraId="40E585E8" w14:textId="77777777" w:rsidR="00347E89" w:rsidRDefault="009F7926">
      <w:r>
        <w:t>03  Performance Snapshot</w:t>
      </w:r>
    </w:p>
    <w:p w14:paraId="404EDBA4" w14:textId="77777777" w:rsidR="00347E89" w:rsidRDefault="009F7926">
      <w:r>
        <w:t>04  Delivery Performance</w:t>
      </w:r>
    </w:p>
    <w:p w14:paraId="2C4CEB8F" w14:textId="77777777" w:rsidR="00347E89" w:rsidRDefault="009F7926">
      <w:r>
        <w:t>05  Factors Associated with Delay</w:t>
      </w:r>
    </w:p>
    <w:p w14:paraId="1DF5A3A5" w14:textId="77777777" w:rsidR="00347E89" w:rsidRDefault="009F7926">
      <w:r>
        <w:t>06  Financial Performance</w:t>
      </w:r>
    </w:p>
    <w:p w14:paraId="7393AA7C" w14:textId="77777777" w:rsidR="00347E89" w:rsidRDefault="009F7926">
      <w:r>
        <w:t>07  Time-Based Patterns</w:t>
      </w:r>
    </w:p>
    <w:p w14:paraId="03004412" w14:textId="77777777" w:rsidR="00347E89" w:rsidRDefault="009F7926">
      <w:r>
        <w:t>08  Predictive Model Results</w:t>
      </w:r>
    </w:p>
    <w:p w14:paraId="3C40251B" w14:textId="77777777" w:rsidR="00347E89" w:rsidRDefault="009F7926">
      <w:r>
        <w:t>09  Recommendations</w:t>
      </w:r>
    </w:p>
    <w:p w14:paraId="03DC49FE" w14:textId="77777777" w:rsidR="00347E89" w:rsidRDefault="009F7926">
      <w:r>
        <w:t>10  Conclusion</w:t>
      </w:r>
    </w:p>
    <w:p w14:paraId="350F3CD6" w14:textId="77777777" w:rsidR="00347E89" w:rsidRDefault="009F7926">
      <w:r>
        <w:t>Appendix  Methodology</w:t>
      </w:r>
    </w:p>
    <w:p w14:paraId="249DB3FD" w14:textId="77777777" w:rsidR="00347E89" w:rsidRDefault="009F7926">
      <w:r>
        <w:br w:type="page"/>
      </w:r>
    </w:p>
    <w:p w14:paraId="510EA702" w14:textId="77777777" w:rsidR="00347E89" w:rsidRDefault="009F7926">
      <w:pPr>
        <w:pStyle w:val="Heading1"/>
      </w:pPr>
      <w:r>
        <w:lastRenderedPageBreak/>
        <w:t>01  Executive Summary</w:t>
      </w:r>
    </w:p>
    <w:p w14:paraId="3A29D71C" w14:textId="77777777" w:rsidR="00347E89" w:rsidRDefault="009F7926">
      <w:pPr>
        <w:spacing w:after="160"/>
      </w:pPr>
      <w:r>
        <w:rPr>
          <w:color w:val="6B8F71"/>
          <w:sz w:val="14"/>
        </w:rPr>
        <w:t>────────────────────────────────────────────────────────</w:t>
      </w:r>
    </w:p>
    <w:p w14:paraId="722E2FC6" w14:textId="77777777" w:rsidR="00347E89" w:rsidRDefault="009F7926" w:rsidP="00063EB6">
      <w:pPr>
        <w:jc w:val="both"/>
      </w:pPr>
      <w:r>
        <w:t>The analysis covers 180,518 cleaned orders from the DataCo Supply Chain dataset. The main business question is straightforward: where are delivery delays concentrated, what patterns are associated with them, and can late-delivery risk be predicted from information available at order level?</w:t>
      </w:r>
    </w:p>
    <w:p w14:paraId="70EBC0A1" w14:textId="77777777" w:rsidR="00347E89" w:rsidRDefault="009F7926" w:rsidP="00063EB6">
      <w:pPr>
        <w:jc w:val="both"/>
      </w:pPr>
      <w:r>
        <w:t>Delivery performance is the main concern. 103,399 orders, or 57.3% of the dataset, exceeded their scheduled shipping time. The median schedule deviation is 1 day and the 90th percentile is 2 days.</w:t>
      </w:r>
    </w:p>
    <w:p w14:paraId="1F49CA84" w14:textId="77777777" w:rsidR="00347E89" w:rsidRDefault="009F7926" w:rsidP="00063EB6">
      <w:pPr>
        <w:jc w:val="both"/>
      </w:pPr>
      <w:r>
        <w:t>The clearest operational difference is by shipping mode. First Class has a 100.0% delay rate and Second Class 79.7%, compared with 39.8% for Standard Class. Regional, departmental, and customer-segment differences are narrower.</w:t>
      </w:r>
    </w:p>
    <w:p w14:paraId="6CEADE53" w14:textId="77777777" w:rsidR="00347E89" w:rsidRDefault="009F7926" w:rsidP="00063EB6">
      <w:pPr>
        <w:jc w:val="both"/>
      </w:pPr>
      <w:r>
        <w:t>Financial measures also differ by delivery status. Average Benefit per Order is $21.58 for delayed orders versus $22.50 for on-time orders. These figures show association, not a proven causal loss.</w:t>
      </w:r>
    </w:p>
    <w:p w14:paraId="09601516" w14:textId="77777777" w:rsidR="00347E89" w:rsidRDefault="009F7926" w:rsidP="00063EB6">
      <w:pPr>
        <w:jc w:val="both"/>
      </w:pPr>
      <w:r>
        <w:t>For predictive analysis, three baseline models were compared. The Decision Tree produced the highest F1 score at 0.763. This provides a useful analytical baseline for identifying orders with higher late-delivery risk.</w:t>
      </w:r>
    </w:p>
    <w:p w14:paraId="46159514" w14:textId="77777777" w:rsidR="00347E89" w:rsidRDefault="009F7926" w:rsidP="00063EB6">
      <w:pPr>
        <w:jc w:val="both"/>
      </w:pPr>
      <w:r>
        <w:rPr>
          <w:b/>
          <w:color w:val="6B8F71"/>
          <w:sz w:val="18"/>
        </w:rPr>
        <w:t xml:space="preserve">MANAGEMENT FOCUS  </w:t>
      </w:r>
      <w:r>
        <w:t>Review shipping-mode performance first, then investigate the highest-delay regions and departments. Use the predictive model as a supporting prioritization tool.</w:t>
      </w:r>
    </w:p>
    <w:p w14:paraId="450500EC" w14:textId="77777777" w:rsidR="00347E89" w:rsidRDefault="009F7926">
      <w:r>
        <w:br w:type="page"/>
      </w:r>
    </w:p>
    <w:p w14:paraId="6C0143B6" w14:textId="77777777" w:rsidR="00347E89" w:rsidRDefault="009F7926">
      <w:pPr>
        <w:pStyle w:val="Heading1"/>
      </w:pPr>
      <w:r>
        <w:lastRenderedPageBreak/>
        <w:t>02  Business Context &amp; Objectives</w:t>
      </w:r>
    </w:p>
    <w:p w14:paraId="078F7F21" w14:textId="77777777" w:rsidR="00347E89" w:rsidRDefault="009F7926">
      <w:pPr>
        <w:spacing w:after="160"/>
      </w:pPr>
      <w:r>
        <w:rPr>
          <w:color w:val="6B8F71"/>
          <w:sz w:val="14"/>
        </w:rPr>
        <w:t>────────────────────────────────────────────────────────</w:t>
      </w:r>
    </w:p>
    <w:p w14:paraId="270CB895" w14:textId="77777777" w:rsidR="00347E89" w:rsidRDefault="009F7926" w:rsidP="00063EB6">
      <w:pPr>
        <w:jc w:val="both"/>
      </w:pPr>
      <w:r>
        <w:t>The dataset represents an e-commerce supply chain with order, customer, product, regional, shipping, timing, and financial information. Delivery performance is assessed by comparing actual shipping days with scheduled shipping days.</w:t>
      </w:r>
    </w:p>
    <w:p w14:paraId="2E11EA52" w14:textId="77777777" w:rsidR="00347E89" w:rsidRDefault="009F7926" w:rsidP="00063EB6">
      <w:pPr>
        <w:pStyle w:val="Heading2"/>
        <w:jc w:val="both"/>
      </w:pPr>
      <w:r>
        <w:t>Business question</w:t>
      </w:r>
    </w:p>
    <w:p w14:paraId="00571C7E" w14:textId="77777777" w:rsidR="00347E89" w:rsidRDefault="009F7926" w:rsidP="00063EB6">
      <w:pPr>
        <w:jc w:val="both"/>
      </w:pPr>
      <w:r>
        <w:t>The analysis is designed to understand the current delivery-performance position, identify business dimensions associated with higher delay rates, and evaluate whether order-level information can support early identification of late-delivery risk.</w:t>
      </w:r>
    </w:p>
    <w:p w14:paraId="28ECB2F1" w14:textId="77777777" w:rsidR="00347E89" w:rsidRDefault="009F7926" w:rsidP="00063EB6">
      <w:pPr>
        <w:pStyle w:val="Heading2"/>
        <w:jc w:val="both"/>
      </w:pPr>
      <w:r>
        <w:t>Objectives</w:t>
      </w:r>
    </w:p>
    <w:p w14:paraId="1B997EA1" w14:textId="77777777" w:rsidR="00347E89" w:rsidRDefault="009F7926" w:rsidP="00063EB6">
      <w:pPr>
        <w:pStyle w:val="ListBullet"/>
        <w:jc w:val="both"/>
      </w:pPr>
      <w:r>
        <w:t>Establish a delivery-performance baseline.</w:t>
      </w:r>
    </w:p>
    <w:p w14:paraId="6A9B9564" w14:textId="77777777" w:rsidR="00347E89" w:rsidRDefault="009F7926" w:rsidP="00063EB6">
      <w:pPr>
        <w:pStyle w:val="ListBullet"/>
        <w:jc w:val="both"/>
      </w:pPr>
      <w:r>
        <w:t>Compare delays across shipping mode, region, customer segment, department, order type, and order status.</w:t>
      </w:r>
    </w:p>
    <w:p w14:paraId="6DBF124A" w14:textId="77777777" w:rsidR="00347E89" w:rsidRDefault="009F7926" w:rsidP="00063EB6">
      <w:pPr>
        <w:pStyle w:val="ListBullet"/>
        <w:jc w:val="both"/>
      </w:pPr>
      <w:r>
        <w:t>Identify recurring time-based patterns.</w:t>
      </w:r>
    </w:p>
    <w:p w14:paraId="562D8F7A" w14:textId="77777777" w:rsidR="00347E89" w:rsidRDefault="009F7926" w:rsidP="00063EB6">
      <w:pPr>
        <w:pStyle w:val="ListBullet"/>
        <w:jc w:val="both"/>
      </w:pPr>
      <w:r>
        <w:t>Compare selected financial measures for delayed and on-time orders.</w:t>
      </w:r>
    </w:p>
    <w:p w14:paraId="2CE6190F" w14:textId="77777777" w:rsidR="00347E89" w:rsidRDefault="009F7926" w:rsidP="00063EB6">
      <w:pPr>
        <w:pStyle w:val="ListBullet"/>
        <w:jc w:val="both"/>
      </w:pPr>
      <w:r>
        <w:t>Build and compare baseline classification models.</w:t>
      </w:r>
    </w:p>
    <w:p w14:paraId="125C10D8" w14:textId="77777777" w:rsidR="00347E89" w:rsidRDefault="009F7926" w:rsidP="00063EB6">
      <w:pPr>
        <w:pStyle w:val="ListBullet"/>
        <w:jc w:val="both"/>
      </w:pPr>
      <w:r>
        <w:t>Translate the findings into practical areas for management review.</w:t>
      </w:r>
    </w:p>
    <w:p w14:paraId="70FEF161" w14:textId="77777777" w:rsidR="00347E89" w:rsidRDefault="009F7926">
      <w:r>
        <w:br w:type="page"/>
      </w:r>
    </w:p>
    <w:p w14:paraId="7F7EF7F1" w14:textId="77777777" w:rsidR="00347E89" w:rsidRDefault="009F7926">
      <w:pPr>
        <w:pStyle w:val="Heading1"/>
      </w:pPr>
      <w:r>
        <w:lastRenderedPageBreak/>
        <w:t>03  Performance Snapshot</w:t>
      </w:r>
    </w:p>
    <w:p w14:paraId="44FAD35C" w14:textId="77777777" w:rsidR="00347E89" w:rsidRDefault="009F7926">
      <w:pPr>
        <w:spacing w:after="160"/>
      </w:pPr>
      <w:r>
        <w:rPr>
          <w:color w:val="6B8F71"/>
          <w:sz w:val="14"/>
        </w:rP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484"/>
        <w:gridCol w:w="2484"/>
        <w:gridCol w:w="2484"/>
        <w:gridCol w:w="2484"/>
      </w:tblGrid>
      <w:tr w:rsidR="00347E89" w14:paraId="066FFA44" w14:textId="77777777" w:rsidTr="007562C2">
        <w:trPr>
          <w:jc w:val="center"/>
        </w:trPr>
        <w:tc>
          <w:tcPr>
            <w:tcW w:w="2484" w:type="dxa"/>
            <w:tcBorders>
              <w:right w:val="single" w:sz="12" w:space="0" w:color="auto"/>
            </w:tcBorders>
          </w:tcPr>
          <w:p w14:paraId="658B3F2B" w14:textId="77777777" w:rsidR="00347E89" w:rsidRDefault="009F7926">
            <w:pPr>
              <w:jc w:val="center"/>
            </w:pPr>
            <w:r>
              <w:rPr>
                <w:b/>
                <w:color w:val="4F6D7A"/>
                <w:sz w:val="40"/>
              </w:rPr>
              <w:t>180,518</w:t>
            </w:r>
          </w:p>
          <w:p w14:paraId="2A035127" w14:textId="77777777" w:rsidR="00347E89" w:rsidRDefault="009F7926">
            <w:pPr>
              <w:jc w:val="center"/>
            </w:pPr>
            <w:r>
              <w:rPr>
                <w:b/>
                <w:color w:val="7A858A"/>
                <w:sz w:val="16"/>
              </w:rPr>
              <w:t>TOTAL ORDERS</w:t>
            </w:r>
          </w:p>
        </w:tc>
        <w:tc>
          <w:tcPr>
            <w:tcW w:w="2484" w:type="dxa"/>
            <w:tcBorders>
              <w:left w:val="single" w:sz="12" w:space="0" w:color="auto"/>
              <w:right w:val="single" w:sz="12" w:space="0" w:color="auto"/>
            </w:tcBorders>
          </w:tcPr>
          <w:p w14:paraId="5C4D1AA9" w14:textId="77777777" w:rsidR="00347E89" w:rsidRDefault="009F7926">
            <w:pPr>
              <w:jc w:val="center"/>
            </w:pPr>
            <w:r>
              <w:rPr>
                <w:b/>
                <w:color w:val="4F6D7A"/>
                <w:sz w:val="40"/>
              </w:rPr>
              <w:t>103,399</w:t>
            </w:r>
          </w:p>
          <w:p w14:paraId="1504A8E7" w14:textId="77777777" w:rsidR="00347E89" w:rsidRDefault="009F7926">
            <w:pPr>
              <w:jc w:val="center"/>
            </w:pPr>
            <w:r>
              <w:rPr>
                <w:b/>
                <w:color w:val="7A858A"/>
                <w:sz w:val="16"/>
              </w:rPr>
              <w:t>DELAYED ORDERS</w:t>
            </w:r>
          </w:p>
        </w:tc>
        <w:tc>
          <w:tcPr>
            <w:tcW w:w="2484" w:type="dxa"/>
            <w:tcBorders>
              <w:left w:val="single" w:sz="12" w:space="0" w:color="auto"/>
              <w:right w:val="single" w:sz="12" w:space="0" w:color="auto"/>
            </w:tcBorders>
          </w:tcPr>
          <w:p w14:paraId="6ED061C8" w14:textId="77777777" w:rsidR="00347E89" w:rsidRDefault="009F7926">
            <w:pPr>
              <w:jc w:val="center"/>
            </w:pPr>
            <w:r>
              <w:rPr>
                <w:b/>
                <w:color w:val="4F6D7A"/>
                <w:sz w:val="40"/>
              </w:rPr>
              <w:t>57.3%</w:t>
            </w:r>
          </w:p>
          <w:p w14:paraId="4B443AE1" w14:textId="77777777" w:rsidR="00347E89" w:rsidRDefault="009F7926">
            <w:pPr>
              <w:jc w:val="center"/>
            </w:pPr>
            <w:r>
              <w:rPr>
                <w:b/>
                <w:color w:val="7A858A"/>
                <w:sz w:val="16"/>
              </w:rPr>
              <w:t>DELAY RATE</w:t>
            </w:r>
          </w:p>
        </w:tc>
        <w:tc>
          <w:tcPr>
            <w:tcW w:w="2484" w:type="dxa"/>
            <w:tcBorders>
              <w:left w:val="single" w:sz="12" w:space="0" w:color="auto"/>
            </w:tcBorders>
          </w:tcPr>
          <w:p w14:paraId="1393A215" w14:textId="77777777" w:rsidR="00347E89" w:rsidRDefault="009F7926">
            <w:pPr>
              <w:jc w:val="center"/>
            </w:pPr>
            <w:r>
              <w:rPr>
                <w:b/>
                <w:color w:val="4F6D7A"/>
                <w:sz w:val="40"/>
              </w:rPr>
              <w:t>42.7%</w:t>
            </w:r>
          </w:p>
          <w:p w14:paraId="21BDB907" w14:textId="77777777" w:rsidR="00347E89" w:rsidRDefault="009F7926">
            <w:pPr>
              <w:jc w:val="center"/>
            </w:pPr>
            <w:r>
              <w:rPr>
                <w:b/>
                <w:color w:val="7A858A"/>
                <w:sz w:val="16"/>
              </w:rPr>
              <w:t>ON-TIME RATE</w:t>
            </w:r>
          </w:p>
        </w:tc>
      </w:tr>
    </w:tbl>
    <w:p w14:paraId="10E0C970" w14:textId="77777777" w:rsidR="00347E89" w:rsidRDefault="00347E89"/>
    <w:tbl>
      <w:tblPr>
        <w:tblW w:w="0" w:type="auto"/>
        <w:jc w:val="center"/>
        <w:tblBorders>
          <w:top w:val="nil"/>
          <w:left w:val="nil"/>
          <w:bottom w:val="nil"/>
          <w:right w:val="nil"/>
          <w:insideH w:val="nil"/>
          <w:insideV w:val="nil"/>
        </w:tblBorders>
        <w:tblLook w:val="04A0" w:firstRow="1" w:lastRow="0" w:firstColumn="1" w:lastColumn="0" w:noHBand="0" w:noVBand="1"/>
      </w:tblPr>
      <w:tblGrid>
        <w:gridCol w:w="2484"/>
        <w:gridCol w:w="2484"/>
        <w:gridCol w:w="2484"/>
        <w:gridCol w:w="2484"/>
      </w:tblGrid>
      <w:tr w:rsidR="00347E89" w14:paraId="0C24DF52" w14:textId="77777777" w:rsidTr="007562C2">
        <w:trPr>
          <w:jc w:val="center"/>
        </w:trPr>
        <w:tc>
          <w:tcPr>
            <w:tcW w:w="2484" w:type="dxa"/>
            <w:tcBorders>
              <w:right w:val="single" w:sz="12" w:space="0" w:color="auto"/>
            </w:tcBorders>
          </w:tcPr>
          <w:p w14:paraId="1A9C9326" w14:textId="77777777" w:rsidR="00347E89" w:rsidRDefault="009F7926">
            <w:pPr>
              <w:jc w:val="center"/>
            </w:pPr>
            <w:r>
              <w:rPr>
                <w:b/>
                <w:color w:val="4F6D7A"/>
                <w:sz w:val="40"/>
              </w:rPr>
              <w:t>1 day</w:t>
            </w:r>
          </w:p>
          <w:p w14:paraId="03C5DAE5" w14:textId="77777777" w:rsidR="00347E89" w:rsidRDefault="009F7926">
            <w:pPr>
              <w:jc w:val="center"/>
            </w:pPr>
            <w:r>
              <w:rPr>
                <w:b/>
                <w:color w:val="7A858A"/>
                <w:sz w:val="16"/>
              </w:rPr>
              <w:t>MEDIAN DEVIATION</w:t>
            </w:r>
          </w:p>
        </w:tc>
        <w:tc>
          <w:tcPr>
            <w:tcW w:w="2484" w:type="dxa"/>
            <w:tcBorders>
              <w:left w:val="single" w:sz="12" w:space="0" w:color="auto"/>
              <w:right w:val="single" w:sz="12" w:space="0" w:color="auto"/>
            </w:tcBorders>
          </w:tcPr>
          <w:p w14:paraId="586B3E9C" w14:textId="77777777" w:rsidR="00347E89" w:rsidRDefault="009F7926">
            <w:pPr>
              <w:jc w:val="center"/>
            </w:pPr>
            <w:r>
              <w:rPr>
                <w:b/>
                <w:color w:val="4F6D7A"/>
                <w:sz w:val="40"/>
              </w:rPr>
              <w:t>2 days</w:t>
            </w:r>
          </w:p>
          <w:p w14:paraId="254DC216" w14:textId="77777777" w:rsidR="00347E89" w:rsidRDefault="009F7926">
            <w:pPr>
              <w:jc w:val="center"/>
            </w:pPr>
            <w:r>
              <w:rPr>
                <w:b/>
                <w:color w:val="7A858A"/>
                <w:sz w:val="16"/>
              </w:rPr>
              <w:t>90TH PERCENTILE</w:t>
            </w:r>
          </w:p>
        </w:tc>
        <w:tc>
          <w:tcPr>
            <w:tcW w:w="2484" w:type="dxa"/>
            <w:tcBorders>
              <w:left w:val="single" w:sz="12" w:space="0" w:color="auto"/>
              <w:right w:val="single" w:sz="12" w:space="0" w:color="auto"/>
            </w:tcBorders>
          </w:tcPr>
          <w:p w14:paraId="331B908C" w14:textId="77777777" w:rsidR="00347E89" w:rsidRDefault="009F7926">
            <w:pPr>
              <w:jc w:val="center"/>
            </w:pPr>
            <w:r>
              <w:rPr>
                <w:b/>
                <w:color w:val="4F6D7A"/>
                <w:sz w:val="40"/>
              </w:rPr>
              <w:t>$183.11</w:t>
            </w:r>
          </w:p>
          <w:p w14:paraId="43851A6F" w14:textId="77777777" w:rsidR="00347E89" w:rsidRDefault="009F7926">
            <w:pPr>
              <w:jc w:val="center"/>
            </w:pPr>
            <w:r>
              <w:rPr>
                <w:b/>
                <w:color w:val="7A858A"/>
                <w:sz w:val="16"/>
              </w:rPr>
              <w:t>AVG SALES / CUSTOMER</w:t>
            </w:r>
          </w:p>
        </w:tc>
        <w:tc>
          <w:tcPr>
            <w:tcW w:w="2484" w:type="dxa"/>
            <w:tcBorders>
              <w:left w:val="single" w:sz="12" w:space="0" w:color="auto"/>
            </w:tcBorders>
          </w:tcPr>
          <w:p w14:paraId="6453EA6A" w14:textId="77777777" w:rsidR="00347E89" w:rsidRDefault="009F7926">
            <w:pPr>
              <w:jc w:val="center"/>
            </w:pPr>
            <w:r>
              <w:rPr>
                <w:b/>
                <w:color w:val="4F6D7A"/>
                <w:sz w:val="40"/>
              </w:rPr>
              <w:t>$21.97</w:t>
            </w:r>
          </w:p>
          <w:p w14:paraId="0254D966" w14:textId="77777777" w:rsidR="00347E89" w:rsidRDefault="009F7926">
            <w:pPr>
              <w:jc w:val="center"/>
            </w:pPr>
            <w:r>
              <w:rPr>
                <w:b/>
                <w:color w:val="7A858A"/>
                <w:sz w:val="16"/>
              </w:rPr>
              <w:t>AVG BENEFIT / ORDER</w:t>
            </w:r>
          </w:p>
        </w:tc>
      </w:tr>
    </w:tbl>
    <w:p w14:paraId="7D980848" w14:textId="77777777" w:rsidR="00347E89" w:rsidRDefault="00347E89"/>
    <w:p w14:paraId="4C82AB88" w14:textId="77777777" w:rsidR="00347E89" w:rsidRDefault="009F7926">
      <w:pPr>
        <w:jc w:val="center"/>
      </w:pPr>
      <w:r>
        <w:rPr>
          <w:noProof/>
        </w:rPr>
        <w:drawing>
          <wp:inline distT="0" distB="0" distL="0" distR="0" wp14:anchorId="42894773" wp14:editId="2786DB39">
            <wp:extent cx="6126480" cy="22789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delivery.png"/>
                    <pic:cNvPicPr/>
                  </pic:nvPicPr>
                  <pic:blipFill>
                    <a:blip r:embed="rId8"/>
                    <a:stretch>
                      <a:fillRect/>
                    </a:stretch>
                  </pic:blipFill>
                  <pic:spPr>
                    <a:xfrm>
                      <a:off x="0" y="0"/>
                      <a:ext cx="6126480" cy="2278952"/>
                    </a:xfrm>
                    <a:prstGeom prst="rect">
                      <a:avLst/>
                    </a:prstGeom>
                  </pic:spPr>
                </pic:pic>
              </a:graphicData>
            </a:graphic>
          </wp:inline>
        </w:drawing>
      </w:r>
    </w:p>
    <w:p w14:paraId="4BFB5500" w14:textId="77777777" w:rsidR="00347E89" w:rsidRDefault="009F7926" w:rsidP="00063EB6">
      <w:pPr>
        <w:ind w:left="259"/>
        <w:jc w:val="both"/>
      </w:pPr>
      <w:r>
        <w:rPr>
          <w:b/>
          <w:color w:val="6B8F71"/>
          <w:sz w:val="18"/>
        </w:rPr>
        <w:t xml:space="preserve">PERFORMANCE READING  </w:t>
      </w:r>
      <w:r>
        <w:t>The delivery problem is frequent rather than isolated. More than half of all orders exceed their scheduled shipping time.</w:t>
      </w:r>
    </w:p>
    <w:p w14:paraId="03F8BD9E" w14:textId="77777777" w:rsidR="00347E89" w:rsidRDefault="009F7926">
      <w:r>
        <w:br w:type="page"/>
      </w:r>
    </w:p>
    <w:p w14:paraId="788EF6FD" w14:textId="77777777" w:rsidR="00347E89" w:rsidRDefault="009F7926">
      <w:pPr>
        <w:pStyle w:val="Heading1"/>
      </w:pPr>
      <w:r>
        <w:lastRenderedPageBreak/>
        <w:t>04  Delivery Performance</w:t>
      </w:r>
    </w:p>
    <w:p w14:paraId="1FA648A4" w14:textId="77777777" w:rsidR="00347E89" w:rsidRDefault="009F7926">
      <w:pPr>
        <w:spacing w:after="160"/>
      </w:pPr>
      <w:r>
        <w:rPr>
          <w:color w:val="6B8F71"/>
          <w:sz w:val="14"/>
        </w:rPr>
        <w:t>────────────────────────────────────────────────────────</w:t>
      </w:r>
    </w:p>
    <w:p w14:paraId="493D7174" w14:textId="77777777" w:rsidR="00347E89" w:rsidRDefault="009F7926">
      <w:pPr>
        <w:pStyle w:val="Heading2"/>
      </w:pPr>
      <w:r>
        <w:t>Shipping mode is the clearest differentiator</w:t>
      </w:r>
    </w:p>
    <w:p w14:paraId="5536399E" w14:textId="77777777" w:rsidR="00347E89" w:rsidRDefault="009F7926">
      <w:pPr>
        <w:jc w:val="center"/>
      </w:pPr>
      <w:r>
        <w:rPr>
          <w:noProof/>
        </w:rPr>
        <w:drawing>
          <wp:inline distT="0" distB="0" distL="0" distR="0" wp14:anchorId="7B94E861" wp14:editId="1AA3C6CE">
            <wp:extent cx="6126480" cy="3022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shipping.png"/>
                    <pic:cNvPicPr/>
                  </pic:nvPicPr>
                  <pic:blipFill>
                    <a:blip r:embed="rId9"/>
                    <a:stretch>
                      <a:fillRect/>
                    </a:stretch>
                  </pic:blipFill>
                  <pic:spPr>
                    <a:xfrm>
                      <a:off x="0" y="0"/>
                      <a:ext cx="6126480" cy="3022177"/>
                    </a:xfrm>
                    <a:prstGeom prst="rect">
                      <a:avLst/>
                    </a:prstGeom>
                  </pic:spPr>
                </pic:pic>
              </a:graphicData>
            </a:graphic>
          </wp:inline>
        </w:drawing>
      </w:r>
    </w:p>
    <w:p w14:paraId="1C4D515F" w14:textId="77777777" w:rsidR="00347E89" w:rsidRDefault="009F7926" w:rsidP="00063EB6">
      <w:pPr>
        <w:jc w:val="both"/>
      </w:pPr>
      <w:r>
        <w:t>First Class has the highest observed delay rate at 100.0%, followed by Second Class at 79.7%. Standard Class is lower at 39.8%. Same Day is also elevated at 47.8%.</w:t>
      </w:r>
    </w:p>
    <w:p w14:paraId="5D375D5C" w14:textId="77777777" w:rsidR="00347E89" w:rsidRDefault="009F7926" w:rsidP="00063EB6">
      <w:pPr>
        <w:jc w:val="both"/>
      </w:pPr>
      <w:r>
        <w:rPr>
          <w:b/>
          <w:color w:val="6B8F71"/>
          <w:sz w:val="18"/>
        </w:rPr>
        <w:t xml:space="preserve">MANAGEMENT IMPLICATION  </w:t>
      </w:r>
      <w:r>
        <w:t>Premium service promises should be reviewed against actual delivery performance, carrier allocation, and routing.</w:t>
      </w:r>
    </w:p>
    <w:p w14:paraId="300586F0" w14:textId="77777777" w:rsidR="00347E89" w:rsidRDefault="009F7926">
      <w:pPr>
        <w:pStyle w:val="Heading2"/>
      </w:pPr>
      <w:r>
        <w:t>Regional performance</w:t>
      </w:r>
    </w:p>
    <w:p w14:paraId="5F1669F8" w14:textId="77777777" w:rsidR="00347E89" w:rsidRDefault="009F7926">
      <w:pPr>
        <w:jc w:val="center"/>
      </w:pPr>
      <w:r>
        <w:rPr>
          <w:noProof/>
        </w:rPr>
        <w:drawing>
          <wp:inline distT="0" distB="0" distL="0" distR="0" wp14:anchorId="180E802A" wp14:editId="7F578EFD">
            <wp:extent cx="6126480" cy="3020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region.png"/>
                    <pic:cNvPicPr/>
                  </pic:nvPicPr>
                  <pic:blipFill>
                    <a:blip r:embed="rId10"/>
                    <a:stretch>
                      <a:fillRect/>
                    </a:stretch>
                  </pic:blipFill>
                  <pic:spPr>
                    <a:xfrm>
                      <a:off x="0" y="0"/>
                      <a:ext cx="6126480" cy="3020153"/>
                    </a:xfrm>
                    <a:prstGeom prst="rect">
                      <a:avLst/>
                    </a:prstGeom>
                  </pic:spPr>
                </pic:pic>
              </a:graphicData>
            </a:graphic>
          </wp:inline>
        </w:drawing>
      </w:r>
    </w:p>
    <w:p w14:paraId="79EC458D" w14:textId="77777777" w:rsidR="00347E89" w:rsidRDefault="009F7926" w:rsidP="00063EB6">
      <w:pPr>
        <w:jc w:val="both"/>
      </w:pPr>
      <w:r>
        <w:lastRenderedPageBreak/>
        <w:t>Central Africa records the highest regional delay rate at 60.7%. Most other regions sit within a relatively narrow range, so the regional pattern is important but less pronounced than the shipping-mode pattern.</w:t>
      </w:r>
    </w:p>
    <w:p w14:paraId="78353917" w14:textId="77777777" w:rsidR="00347E89" w:rsidRDefault="009F7926">
      <w:r>
        <w:br w:type="page"/>
      </w:r>
    </w:p>
    <w:p w14:paraId="2CDC25C3" w14:textId="77777777" w:rsidR="00347E89" w:rsidRDefault="009F7926">
      <w:pPr>
        <w:pStyle w:val="Heading1"/>
      </w:pPr>
      <w:r>
        <w:lastRenderedPageBreak/>
        <w:t>05  Factors Associated with Delay</w:t>
      </w:r>
    </w:p>
    <w:p w14:paraId="14A16DCE" w14:textId="77777777" w:rsidR="00347E89" w:rsidRDefault="009F7926">
      <w:pPr>
        <w:spacing w:after="160"/>
      </w:pPr>
      <w:r>
        <w:rPr>
          <w:color w:val="6B8F71"/>
          <w:sz w:val="14"/>
        </w:rPr>
        <w:t>────────────────────────────────────────────────────────</w:t>
      </w:r>
    </w:p>
    <w:p w14:paraId="0FFE21A6" w14:textId="77777777" w:rsidR="00347E89" w:rsidRDefault="009F7926">
      <w:pPr>
        <w:pStyle w:val="Heading2"/>
      </w:pPr>
      <w:r>
        <w:t>Customer segment</w:t>
      </w:r>
    </w:p>
    <w:p w14:paraId="235D9E6B" w14:textId="77777777" w:rsidR="00347E89" w:rsidRDefault="009F7926">
      <w:pPr>
        <w:jc w:val="center"/>
      </w:pPr>
      <w:r>
        <w:rPr>
          <w:noProof/>
        </w:rPr>
        <w:drawing>
          <wp:inline distT="0" distB="0" distL="0" distR="0" wp14:anchorId="5D1587E7" wp14:editId="1E0B9CD6">
            <wp:extent cx="5943600" cy="2931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segment.png"/>
                    <pic:cNvPicPr/>
                  </pic:nvPicPr>
                  <pic:blipFill>
                    <a:blip r:embed="rId11"/>
                    <a:stretch>
                      <a:fillRect/>
                    </a:stretch>
                  </pic:blipFill>
                  <pic:spPr>
                    <a:xfrm>
                      <a:off x="0" y="0"/>
                      <a:ext cx="5943600" cy="2931963"/>
                    </a:xfrm>
                    <a:prstGeom prst="rect">
                      <a:avLst/>
                    </a:prstGeom>
                  </pic:spPr>
                </pic:pic>
              </a:graphicData>
            </a:graphic>
          </wp:inline>
        </w:drawing>
      </w:r>
    </w:p>
    <w:p w14:paraId="599342CA" w14:textId="77777777" w:rsidR="00347E89" w:rsidRDefault="009F7926" w:rsidP="00063EB6">
      <w:pPr>
        <w:jc w:val="both"/>
      </w:pPr>
      <w:r>
        <w:t>Customer-segment differences are limited. Home Office has the highest observed rate at 57.5%, followed by Consumer at 57.3% and Corporate at 57.1%.</w:t>
      </w:r>
    </w:p>
    <w:p w14:paraId="01762A03" w14:textId="77777777" w:rsidR="00347E89" w:rsidRDefault="009F7926">
      <w:pPr>
        <w:pStyle w:val="Heading2"/>
      </w:pPr>
      <w:r>
        <w:t>Department</w:t>
      </w:r>
    </w:p>
    <w:p w14:paraId="2D365469" w14:textId="77777777" w:rsidR="00347E89" w:rsidRDefault="009F7926">
      <w:pPr>
        <w:jc w:val="center"/>
      </w:pPr>
      <w:r>
        <w:rPr>
          <w:noProof/>
        </w:rPr>
        <w:drawing>
          <wp:inline distT="0" distB="0" distL="0" distR="0" wp14:anchorId="3E8C7125" wp14:editId="2CDD6325">
            <wp:extent cx="5943600" cy="29319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department.png"/>
                    <pic:cNvPicPr/>
                  </pic:nvPicPr>
                  <pic:blipFill>
                    <a:blip r:embed="rId12"/>
                    <a:stretch>
                      <a:fillRect/>
                    </a:stretch>
                  </pic:blipFill>
                  <pic:spPr>
                    <a:xfrm>
                      <a:off x="0" y="0"/>
                      <a:ext cx="5943600" cy="2931963"/>
                    </a:xfrm>
                    <a:prstGeom prst="rect">
                      <a:avLst/>
                    </a:prstGeom>
                  </pic:spPr>
                </pic:pic>
              </a:graphicData>
            </a:graphic>
          </wp:inline>
        </w:drawing>
      </w:r>
    </w:p>
    <w:p w14:paraId="18511724" w14:textId="77777777" w:rsidR="00347E89" w:rsidRDefault="009F7926" w:rsidP="00063EB6">
      <w:pPr>
        <w:jc w:val="both"/>
      </w:pPr>
      <w:r>
        <w:t>Pet Shop has the highest department delay rate at 61.4%. The next highest departments are Health and Beauty  (58.6%) and Technology (58.4%).</w:t>
      </w:r>
    </w:p>
    <w:p w14:paraId="79F17AA2" w14:textId="77777777" w:rsidR="00347E89" w:rsidRDefault="009F7926">
      <w:pPr>
        <w:pStyle w:val="Heading2"/>
      </w:pPr>
      <w:r>
        <w:lastRenderedPageBreak/>
        <w:t>Order type and status</w:t>
      </w:r>
    </w:p>
    <w:p w14:paraId="3FFA8409" w14:textId="76D496CB" w:rsidR="00347E89" w:rsidRDefault="009F7926" w:rsidP="00063EB6">
      <w:pPr>
        <w:jc w:val="both"/>
      </w:pPr>
      <w:r>
        <w:t>Order type and order status show smaller differences than shipping mode. Their observed ranges are 56.6%</w:t>
      </w:r>
      <w:r w:rsidR="00063EB6">
        <w:t>-</w:t>
      </w:r>
      <w:r>
        <w:t>57.5% and 55.6%</w:t>
      </w:r>
      <w:r w:rsidR="00063EB6">
        <w:t>-</w:t>
      </w:r>
      <w:r>
        <w:t>57.9%, respectively.</w:t>
      </w:r>
    </w:p>
    <w:p w14:paraId="08A83426" w14:textId="77777777" w:rsidR="00347E89" w:rsidRDefault="009F7926" w:rsidP="00063EB6">
      <w:pPr>
        <w:jc w:val="both"/>
      </w:pPr>
      <w:r>
        <w:rPr>
          <w:b/>
          <w:color w:val="6B8F71"/>
          <w:sz w:val="18"/>
        </w:rPr>
        <w:t xml:space="preserve">INTERPRETATION  </w:t>
      </w:r>
      <w:r>
        <w:t>These dimensions identify patterns for operational review. They should not be described as proven root causes without additional causal analysis.</w:t>
      </w:r>
    </w:p>
    <w:p w14:paraId="37E55858" w14:textId="77777777" w:rsidR="00347E89" w:rsidRDefault="009F7926">
      <w:r>
        <w:br w:type="page"/>
      </w:r>
    </w:p>
    <w:p w14:paraId="747AE6D5" w14:textId="77777777" w:rsidR="00347E89" w:rsidRDefault="009F7926">
      <w:pPr>
        <w:pStyle w:val="Heading1"/>
      </w:pPr>
      <w:r>
        <w:lastRenderedPageBreak/>
        <w:t>06  Financial Performance</w:t>
      </w:r>
    </w:p>
    <w:p w14:paraId="29F6626E" w14:textId="77777777" w:rsidR="00347E89" w:rsidRDefault="009F7926">
      <w:pPr>
        <w:spacing w:after="160"/>
      </w:pPr>
      <w:r>
        <w:rPr>
          <w:color w:val="6B8F71"/>
          <w:sz w:val="14"/>
        </w:rPr>
        <w:t>────────────────────────────────────────────────────────</w:t>
      </w:r>
    </w:p>
    <w:p w14:paraId="6C2AE2E9" w14:textId="77777777" w:rsidR="00347E89" w:rsidRDefault="009F7926">
      <w:pPr>
        <w:jc w:val="center"/>
      </w:pPr>
      <w:r>
        <w:rPr>
          <w:noProof/>
        </w:rPr>
        <w:drawing>
          <wp:inline distT="0" distB="0" distL="0" distR="0" wp14:anchorId="44315FF4" wp14:editId="353AE17E">
            <wp:extent cx="6217920" cy="2988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financial.png"/>
                    <pic:cNvPicPr/>
                  </pic:nvPicPr>
                  <pic:blipFill>
                    <a:blip r:embed="rId13"/>
                    <a:stretch>
                      <a:fillRect/>
                    </a:stretch>
                  </pic:blipFill>
                  <pic:spPr>
                    <a:xfrm>
                      <a:off x="0" y="0"/>
                      <a:ext cx="6217920" cy="2988102"/>
                    </a:xfrm>
                    <a:prstGeom prst="rect">
                      <a:avLst/>
                    </a:prstGeom>
                  </pic:spPr>
                </pic:pic>
              </a:graphicData>
            </a:graphic>
          </wp:inline>
        </w:drawing>
      </w:r>
    </w:p>
    <w:p w14:paraId="444FF363" w14:textId="77777777" w:rsidR="00347E89" w:rsidRDefault="009F7926" w:rsidP="00063EB6">
      <w:pPr>
        <w:jc w:val="both"/>
      </w:pPr>
      <w:r>
        <w:t>Average Benefit per Order is $21.58 for delayed orders and $22.50 for on-time orders. Average Sales per Customer is $182.69 for delayed orders and $183.67 for on-time orders.</w:t>
      </w:r>
    </w:p>
    <w:p w14:paraId="4A3908C9" w14:textId="77777777" w:rsidR="00347E89" w:rsidRDefault="009F7926" w:rsidP="00063EB6">
      <w:pPr>
        <w:jc w:val="both"/>
      </w:pPr>
      <w:r>
        <w:t>The differences are relatively small at the average order level. The current dataset analysis therefore supports an association between delivery status and selected financial measures, but it does not quantify a causal financial loss.</w:t>
      </w:r>
    </w:p>
    <w:p w14:paraId="0912EF79" w14:textId="77777777" w:rsidR="00347E89" w:rsidRDefault="009F7926" w:rsidP="00063EB6">
      <w:pPr>
        <w:jc w:val="both"/>
      </w:pPr>
      <w:r>
        <w:rPr>
          <w:b/>
          <w:color w:val="6B8F71"/>
          <w:sz w:val="18"/>
        </w:rPr>
        <w:t xml:space="preserve">NEXT ANALYTICAL STEP  </w:t>
      </w:r>
      <w:r>
        <w:t>A richer profitability analysis should combine revenue, profit, discount, shipping cost, and customer-impact measures at order level.</w:t>
      </w:r>
    </w:p>
    <w:p w14:paraId="3679B060" w14:textId="77777777" w:rsidR="00347E89" w:rsidRDefault="009F7926">
      <w:r>
        <w:br w:type="page"/>
      </w:r>
    </w:p>
    <w:p w14:paraId="75702E49" w14:textId="77777777" w:rsidR="00347E89" w:rsidRDefault="009F7926">
      <w:pPr>
        <w:pStyle w:val="Heading1"/>
      </w:pPr>
      <w:r>
        <w:lastRenderedPageBreak/>
        <w:t>07  Time-Based Patterns</w:t>
      </w:r>
    </w:p>
    <w:p w14:paraId="6BAC976F" w14:textId="77777777" w:rsidR="00347E89" w:rsidRDefault="009F7926">
      <w:pPr>
        <w:spacing w:after="160"/>
      </w:pPr>
      <w:r>
        <w:rPr>
          <w:color w:val="6B8F71"/>
          <w:sz w:val="14"/>
        </w:rPr>
        <w:t>────────────────────────────────────────────────────────</w:t>
      </w:r>
    </w:p>
    <w:p w14:paraId="573A7356" w14:textId="77777777" w:rsidR="00347E89" w:rsidRDefault="009F7926">
      <w:pPr>
        <w:pStyle w:val="Heading2"/>
      </w:pPr>
      <w:r>
        <w:t>Monthly pattern</w:t>
      </w:r>
    </w:p>
    <w:p w14:paraId="78678760" w14:textId="77777777" w:rsidR="00347E89" w:rsidRDefault="009F7926">
      <w:pPr>
        <w:jc w:val="center"/>
      </w:pPr>
      <w:r>
        <w:rPr>
          <w:noProof/>
        </w:rPr>
        <w:drawing>
          <wp:inline distT="0" distB="0" distL="0" distR="0" wp14:anchorId="2EE96E0D" wp14:editId="4C2FA2F1">
            <wp:extent cx="6126480" cy="2874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month.png"/>
                    <pic:cNvPicPr/>
                  </pic:nvPicPr>
                  <pic:blipFill>
                    <a:blip r:embed="rId14"/>
                    <a:stretch>
                      <a:fillRect/>
                    </a:stretch>
                  </pic:blipFill>
                  <pic:spPr>
                    <a:xfrm>
                      <a:off x="0" y="0"/>
                      <a:ext cx="6126480" cy="2874354"/>
                    </a:xfrm>
                    <a:prstGeom prst="rect">
                      <a:avLst/>
                    </a:prstGeom>
                  </pic:spPr>
                </pic:pic>
              </a:graphicData>
            </a:graphic>
          </wp:inline>
        </w:drawing>
      </w:r>
    </w:p>
    <w:p w14:paraId="36C1659C" w14:textId="77777777" w:rsidR="00347E89" w:rsidRDefault="009F7926" w:rsidP="00063EB6">
      <w:pPr>
        <w:jc w:val="both"/>
      </w:pPr>
      <w:r>
        <w:t>Month 12 has the highest observed delay rate at 57.9%, while month 4 is the lowest at 56.7%. The overall spread is modest.</w:t>
      </w:r>
    </w:p>
    <w:p w14:paraId="3463F5B4" w14:textId="77777777" w:rsidR="00347E89" w:rsidRDefault="009F7926">
      <w:pPr>
        <w:pStyle w:val="Heading2"/>
      </w:pPr>
      <w:r>
        <w:t>Day of week</w:t>
      </w:r>
    </w:p>
    <w:p w14:paraId="79D5C0AC" w14:textId="77777777" w:rsidR="00347E89" w:rsidRDefault="009F7926">
      <w:pPr>
        <w:jc w:val="center"/>
      </w:pPr>
      <w:r>
        <w:rPr>
          <w:noProof/>
        </w:rPr>
        <w:drawing>
          <wp:inline distT="0" distB="0" distL="0" distR="0" wp14:anchorId="5A8AD68F" wp14:editId="1B561214">
            <wp:extent cx="6126480" cy="3022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day.png"/>
                    <pic:cNvPicPr/>
                  </pic:nvPicPr>
                  <pic:blipFill>
                    <a:blip r:embed="rId15"/>
                    <a:stretch>
                      <a:fillRect/>
                    </a:stretch>
                  </pic:blipFill>
                  <pic:spPr>
                    <a:xfrm>
                      <a:off x="0" y="0"/>
                      <a:ext cx="6126480" cy="3022177"/>
                    </a:xfrm>
                    <a:prstGeom prst="rect">
                      <a:avLst/>
                    </a:prstGeom>
                  </pic:spPr>
                </pic:pic>
              </a:graphicData>
            </a:graphic>
          </wp:inline>
        </w:drawing>
      </w:r>
    </w:p>
    <w:p w14:paraId="184D6EDD" w14:textId="77777777" w:rsidR="00347E89" w:rsidRDefault="009F7926" w:rsidP="00063EB6">
      <w:pPr>
        <w:jc w:val="both"/>
      </w:pPr>
      <w:r>
        <w:t>Monday has the highest day-of-week rate at 57.9%, while Tuesday has the lowest at 56.6%. The small spread suggests day of week is not a major management lever.</w:t>
      </w:r>
    </w:p>
    <w:p w14:paraId="6DA2C8CF" w14:textId="77777777" w:rsidR="00347E89" w:rsidRDefault="009F7926">
      <w:pPr>
        <w:pStyle w:val="Heading2"/>
      </w:pPr>
      <w:r>
        <w:lastRenderedPageBreak/>
        <w:t>Hour of day</w:t>
      </w:r>
    </w:p>
    <w:p w14:paraId="18FE93B4" w14:textId="77777777" w:rsidR="00347E89" w:rsidRDefault="009F7926">
      <w:pPr>
        <w:jc w:val="center"/>
      </w:pPr>
      <w:r>
        <w:rPr>
          <w:noProof/>
        </w:rPr>
        <w:drawing>
          <wp:inline distT="0" distB="0" distL="0" distR="0" wp14:anchorId="500052D8" wp14:editId="3777108C">
            <wp:extent cx="6126480" cy="2872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hour.png"/>
                    <pic:cNvPicPr/>
                  </pic:nvPicPr>
                  <pic:blipFill>
                    <a:blip r:embed="rId16"/>
                    <a:stretch>
                      <a:fillRect/>
                    </a:stretch>
                  </pic:blipFill>
                  <pic:spPr>
                    <a:xfrm>
                      <a:off x="0" y="0"/>
                      <a:ext cx="6126480" cy="2872429"/>
                    </a:xfrm>
                    <a:prstGeom prst="rect">
                      <a:avLst/>
                    </a:prstGeom>
                  </pic:spPr>
                </pic:pic>
              </a:graphicData>
            </a:graphic>
          </wp:inline>
        </w:drawing>
      </w:r>
    </w:p>
    <w:p w14:paraId="79752672" w14:textId="77777777" w:rsidR="00347E89" w:rsidRDefault="009F7926" w:rsidP="00063EB6">
      <w:pPr>
        <w:jc w:val="both"/>
      </w:pPr>
      <w:r>
        <w:t>The three highest observed order hours are 12:00 (62.1%), 20:00 (61.8%), 22:00 (61.2%). These periods can be reviewed alongside workload, cutoff times, and processing capacity.</w:t>
      </w:r>
    </w:p>
    <w:p w14:paraId="1E50DD40" w14:textId="77777777" w:rsidR="00347E89" w:rsidRDefault="009F7926">
      <w:r>
        <w:br w:type="page"/>
      </w:r>
    </w:p>
    <w:p w14:paraId="1F44A137" w14:textId="77777777" w:rsidR="00347E89" w:rsidRDefault="009F7926">
      <w:pPr>
        <w:pStyle w:val="Heading1"/>
      </w:pPr>
      <w:r>
        <w:lastRenderedPageBreak/>
        <w:t>08  Predictive Model Results</w:t>
      </w:r>
    </w:p>
    <w:p w14:paraId="26E980F7" w14:textId="77777777" w:rsidR="00347E89" w:rsidRDefault="009F7926">
      <w:pPr>
        <w:spacing w:after="160"/>
      </w:pPr>
      <w:r>
        <w:rPr>
          <w:color w:val="6B8F71"/>
          <w:sz w:val="14"/>
        </w:rPr>
        <w:t>────────────────────────────────────────────────────────</w:t>
      </w:r>
    </w:p>
    <w:p w14:paraId="6705503B" w14:textId="77777777" w:rsidR="00347E89" w:rsidRDefault="009F7926" w:rsidP="00063EB6">
      <w:pPr>
        <w:jc w:val="both"/>
      </w:pPr>
      <w:r>
        <w:t>The machine-learning task predicts the dataset's Late_delivery_risk target. The model uses order type, scheduled shipping days, category, customer segment, department, region, shipping mode, order month, and order hour. Actual shipping days and the engineered delay flag are not used as predictors.</w:t>
      </w:r>
    </w:p>
    <w:p w14:paraId="51E3D2BB" w14:textId="77777777" w:rsidR="00347E89" w:rsidRDefault="009F7926">
      <w:pPr>
        <w:jc w:val="center"/>
      </w:pPr>
      <w:r>
        <w:rPr>
          <w:noProof/>
        </w:rPr>
        <w:drawing>
          <wp:inline distT="0" distB="0" distL="0" distR="0" wp14:anchorId="6DC289CC" wp14:editId="5B2D4720">
            <wp:extent cx="6309360" cy="30370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_ml.png"/>
                    <pic:cNvPicPr/>
                  </pic:nvPicPr>
                  <pic:blipFill>
                    <a:blip r:embed="rId17"/>
                    <a:stretch>
                      <a:fillRect/>
                    </a:stretch>
                  </pic:blipFill>
                  <pic:spPr>
                    <a:xfrm>
                      <a:off x="0" y="0"/>
                      <a:ext cx="6309360" cy="3037075"/>
                    </a:xfrm>
                    <a:prstGeom prst="rect">
                      <a:avLst/>
                    </a:prstGeom>
                  </pic:spPr>
                </pic:pic>
              </a:graphicData>
            </a:graphic>
          </wp:inline>
        </w:drawing>
      </w:r>
    </w:p>
    <w:tbl>
      <w:tblPr>
        <w:tblStyle w:val="LightShading-Accent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83"/>
        <w:gridCol w:w="1982"/>
        <w:gridCol w:w="1982"/>
        <w:gridCol w:w="1980"/>
        <w:gridCol w:w="1979"/>
      </w:tblGrid>
      <w:tr w:rsidR="00347E89" w14:paraId="6F5AAC12" w14:textId="77777777" w:rsidTr="00063E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top w:val="none" w:sz="0" w:space="0" w:color="auto"/>
              <w:left w:val="none" w:sz="0" w:space="0" w:color="auto"/>
              <w:bottom w:val="none" w:sz="0" w:space="0" w:color="auto"/>
              <w:right w:val="none" w:sz="0" w:space="0" w:color="auto"/>
            </w:tcBorders>
          </w:tcPr>
          <w:p w14:paraId="2C182DF8" w14:textId="77777777" w:rsidR="00347E89" w:rsidRDefault="009F7926" w:rsidP="00063EB6">
            <w:pPr>
              <w:jc w:val="center"/>
            </w:pPr>
            <w:r>
              <w:t>Model</w:t>
            </w:r>
          </w:p>
        </w:tc>
        <w:tc>
          <w:tcPr>
            <w:tcW w:w="1987" w:type="dxa"/>
            <w:tcBorders>
              <w:top w:val="none" w:sz="0" w:space="0" w:color="auto"/>
              <w:left w:val="none" w:sz="0" w:space="0" w:color="auto"/>
              <w:bottom w:val="none" w:sz="0" w:space="0" w:color="auto"/>
              <w:right w:val="none" w:sz="0" w:space="0" w:color="auto"/>
            </w:tcBorders>
          </w:tcPr>
          <w:p w14:paraId="36A85B5C" w14:textId="77777777" w:rsidR="00347E89" w:rsidRDefault="009F7926" w:rsidP="00063EB6">
            <w:pPr>
              <w:jc w:val="center"/>
              <w:cnfStyle w:val="100000000000" w:firstRow="1" w:lastRow="0" w:firstColumn="0" w:lastColumn="0" w:oddVBand="0" w:evenVBand="0" w:oddHBand="0" w:evenHBand="0" w:firstRowFirstColumn="0" w:firstRowLastColumn="0" w:lastRowFirstColumn="0" w:lastRowLastColumn="0"/>
            </w:pPr>
            <w:r>
              <w:t>Accuracy</w:t>
            </w:r>
          </w:p>
        </w:tc>
        <w:tc>
          <w:tcPr>
            <w:tcW w:w="1987" w:type="dxa"/>
            <w:tcBorders>
              <w:top w:val="none" w:sz="0" w:space="0" w:color="auto"/>
              <w:left w:val="none" w:sz="0" w:space="0" w:color="auto"/>
              <w:bottom w:val="none" w:sz="0" w:space="0" w:color="auto"/>
              <w:right w:val="none" w:sz="0" w:space="0" w:color="auto"/>
            </w:tcBorders>
          </w:tcPr>
          <w:p w14:paraId="73C5B136" w14:textId="77777777" w:rsidR="00347E89" w:rsidRDefault="009F7926" w:rsidP="00063EB6">
            <w:pPr>
              <w:jc w:val="center"/>
              <w:cnfStyle w:val="100000000000" w:firstRow="1" w:lastRow="0" w:firstColumn="0" w:lastColumn="0" w:oddVBand="0" w:evenVBand="0" w:oddHBand="0" w:evenHBand="0" w:firstRowFirstColumn="0" w:firstRowLastColumn="0" w:lastRowFirstColumn="0" w:lastRowLastColumn="0"/>
            </w:pPr>
            <w:r>
              <w:t>Precision</w:t>
            </w:r>
          </w:p>
        </w:tc>
        <w:tc>
          <w:tcPr>
            <w:tcW w:w="1987" w:type="dxa"/>
            <w:tcBorders>
              <w:top w:val="none" w:sz="0" w:space="0" w:color="auto"/>
              <w:left w:val="none" w:sz="0" w:space="0" w:color="auto"/>
              <w:bottom w:val="none" w:sz="0" w:space="0" w:color="auto"/>
              <w:right w:val="none" w:sz="0" w:space="0" w:color="auto"/>
            </w:tcBorders>
          </w:tcPr>
          <w:p w14:paraId="022C47D4" w14:textId="77777777" w:rsidR="00347E89" w:rsidRDefault="009F7926" w:rsidP="00063EB6">
            <w:pPr>
              <w:jc w:val="center"/>
              <w:cnfStyle w:val="100000000000" w:firstRow="1" w:lastRow="0" w:firstColumn="0" w:lastColumn="0" w:oddVBand="0" w:evenVBand="0" w:oddHBand="0" w:evenHBand="0" w:firstRowFirstColumn="0" w:firstRowLastColumn="0" w:lastRowFirstColumn="0" w:lastRowLastColumn="0"/>
            </w:pPr>
            <w:r>
              <w:t>Recall</w:t>
            </w:r>
          </w:p>
        </w:tc>
        <w:tc>
          <w:tcPr>
            <w:tcW w:w="1987" w:type="dxa"/>
            <w:tcBorders>
              <w:top w:val="none" w:sz="0" w:space="0" w:color="auto"/>
              <w:left w:val="none" w:sz="0" w:space="0" w:color="auto"/>
              <w:bottom w:val="none" w:sz="0" w:space="0" w:color="auto"/>
              <w:right w:val="none" w:sz="0" w:space="0" w:color="auto"/>
            </w:tcBorders>
          </w:tcPr>
          <w:p w14:paraId="77CC3002" w14:textId="77777777" w:rsidR="00347E89" w:rsidRDefault="009F7926" w:rsidP="00063EB6">
            <w:pPr>
              <w:jc w:val="center"/>
              <w:cnfStyle w:val="100000000000" w:firstRow="1" w:lastRow="0" w:firstColumn="0" w:lastColumn="0" w:oddVBand="0" w:evenVBand="0" w:oddHBand="0" w:evenHBand="0" w:firstRowFirstColumn="0" w:firstRowLastColumn="0" w:lastRowFirstColumn="0" w:lastRowLastColumn="0"/>
            </w:pPr>
            <w:r>
              <w:t>F1</w:t>
            </w:r>
          </w:p>
        </w:tc>
      </w:tr>
      <w:tr w:rsidR="00347E89" w14:paraId="09434F4B"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tcPr>
          <w:p w14:paraId="04881C50" w14:textId="77777777" w:rsidR="00347E89" w:rsidRDefault="009F7926" w:rsidP="00063EB6">
            <w:pPr>
              <w:jc w:val="center"/>
            </w:pPr>
            <w:r>
              <w:t>Logistic Regression</w:t>
            </w:r>
          </w:p>
        </w:tc>
        <w:tc>
          <w:tcPr>
            <w:tcW w:w="1987" w:type="dxa"/>
            <w:tcBorders>
              <w:left w:val="none" w:sz="0" w:space="0" w:color="auto"/>
              <w:right w:val="none" w:sz="0" w:space="0" w:color="auto"/>
            </w:tcBorders>
          </w:tcPr>
          <w:p w14:paraId="74B2E095"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0.710</w:t>
            </w:r>
          </w:p>
        </w:tc>
        <w:tc>
          <w:tcPr>
            <w:tcW w:w="1987" w:type="dxa"/>
            <w:tcBorders>
              <w:left w:val="none" w:sz="0" w:space="0" w:color="auto"/>
              <w:right w:val="none" w:sz="0" w:space="0" w:color="auto"/>
            </w:tcBorders>
          </w:tcPr>
          <w:p w14:paraId="0D5EA4D3"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0.854</w:t>
            </w:r>
          </w:p>
        </w:tc>
        <w:tc>
          <w:tcPr>
            <w:tcW w:w="1987" w:type="dxa"/>
            <w:tcBorders>
              <w:left w:val="none" w:sz="0" w:space="0" w:color="auto"/>
              <w:right w:val="none" w:sz="0" w:space="0" w:color="auto"/>
            </w:tcBorders>
          </w:tcPr>
          <w:p w14:paraId="02E5ED53"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0.569</w:t>
            </w:r>
          </w:p>
        </w:tc>
        <w:tc>
          <w:tcPr>
            <w:tcW w:w="1987" w:type="dxa"/>
            <w:tcBorders>
              <w:left w:val="none" w:sz="0" w:space="0" w:color="auto"/>
              <w:right w:val="none" w:sz="0" w:space="0" w:color="auto"/>
            </w:tcBorders>
          </w:tcPr>
          <w:p w14:paraId="49CE453F"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0.683</w:t>
            </w:r>
          </w:p>
        </w:tc>
      </w:tr>
      <w:tr w:rsidR="00347E89" w14:paraId="37566074"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1987" w:type="dxa"/>
          </w:tcPr>
          <w:p w14:paraId="7645ACB6" w14:textId="77777777" w:rsidR="00347E89" w:rsidRDefault="009F7926" w:rsidP="00063EB6">
            <w:pPr>
              <w:jc w:val="center"/>
            </w:pPr>
            <w:r>
              <w:t>Decision Tree</w:t>
            </w:r>
          </w:p>
        </w:tc>
        <w:tc>
          <w:tcPr>
            <w:tcW w:w="1987" w:type="dxa"/>
          </w:tcPr>
          <w:p w14:paraId="69FFB25C" w14:textId="77777777" w:rsidR="00347E89" w:rsidRDefault="009F7926" w:rsidP="00063EB6">
            <w:pPr>
              <w:jc w:val="center"/>
              <w:cnfStyle w:val="000000000000" w:firstRow="0" w:lastRow="0" w:firstColumn="0" w:lastColumn="0" w:oddVBand="0" w:evenVBand="0" w:oddHBand="0" w:evenHBand="0" w:firstRowFirstColumn="0" w:firstRowLastColumn="0" w:lastRowFirstColumn="0" w:lastRowLastColumn="0"/>
            </w:pPr>
            <w:r>
              <w:t>0.746</w:t>
            </w:r>
          </w:p>
        </w:tc>
        <w:tc>
          <w:tcPr>
            <w:tcW w:w="1987" w:type="dxa"/>
          </w:tcPr>
          <w:p w14:paraId="116A5129" w14:textId="77777777" w:rsidR="00347E89" w:rsidRDefault="009F7926" w:rsidP="00063EB6">
            <w:pPr>
              <w:jc w:val="center"/>
              <w:cnfStyle w:val="000000000000" w:firstRow="0" w:lastRow="0" w:firstColumn="0" w:lastColumn="0" w:oddVBand="0" w:evenVBand="0" w:oddHBand="0" w:evenHBand="0" w:firstRowFirstColumn="0" w:firstRowLastColumn="0" w:lastRowFirstColumn="0" w:lastRowLastColumn="0"/>
            </w:pPr>
            <w:r>
              <w:t>0.783</w:t>
            </w:r>
          </w:p>
        </w:tc>
        <w:tc>
          <w:tcPr>
            <w:tcW w:w="1987" w:type="dxa"/>
          </w:tcPr>
          <w:p w14:paraId="36B84E4A" w14:textId="77777777" w:rsidR="00347E89" w:rsidRDefault="009F7926" w:rsidP="00063EB6">
            <w:pPr>
              <w:jc w:val="center"/>
              <w:cnfStyle w:val="000000000000" w:firstRow="0" w:lastRow="0" w:firstColumn="0" w:lastColumn="0" w:oddVBand="0" w:evenVBand="0" w:oddHBand="0" w:evenHBand="0" w:firstRowFirstColumn="0" w:firstRowLastColumn="0" w:lastRowFirstColumn="0" w:lastRowLastColumn="0"/>
            </w:pPr>
            <w:r>
              <w:t>0.743</w:t>
            </w:r>
          </w:p>
        </w:tc>
        <w:tc>
          <w:tcPr>
            <w:tcW w:w="1987" w:type="dxa"/>
          </w:tcPr>
          <w:p w14:paraId="57A02FCB" w14:textId="77777777" w:rsidR="00347E89" w:rsidRDefault="009F7926" w:rsidP="00063EB6">
            <w:pPr>
              <w:jc w:val="center"/>
              <w:cnfStyle w:val="000000000000" w:firstRow="0" w:lastRow="0" w:firstColumn="0" w:lastColumn="0" w:oddVBand="0" w:evenVBand="0" w:oddHBand="0" w:evenHBand="0" w:firstRowFirstColumn="0" w:firstRowLastColumn="0" w:lastRowFirstColumn="0" w:lastRowLastColumn="0"/>
            </w:pPr>
            <w:r>
              <w:t>0.763</w:t>
            </w:r>
          </w:p>
        </w:tc>
      </w:tr>
      <w:tr w:rsidR="00347E89" w14:paraId="44AC5F1D"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7" w:type="dxa"/>
            <w:tcBorders>
              <w:left w:val="none" w:sz="0" w:space="0" w:color="auto"/>
              <w:right w:val="none" w:sz="0" w:space="0" w:color="auto"/>
            </w:tcBorders>
          </w:tcPr>
          <w:p w14:paraId="07BF1697" w14:textId="77777777" w:rsidR="00347E89" w:rsidRDefault="009F7926" w:rsidP="00063EB6">
            <w:pPr>
              <w:jc w:val="center"/>
            </w:pPr>
            <w:r>
              <w:t>Random Forest</w:t>
            </w:r>
          </w:p>
        </w:tc>
        <w:tc>
          <w:tcPr>
            <w:tcW w:w="1987" w:type="dxa"/>
            <w:tcBorders>
              <w:left w:val="none" w:sz="0" w:space="0" w:color="auto"/>
              <w:right w:val="none" w:sz="0" w:space="0" w:color="auto"/>
            </w:tcBorders>
          </w:tcPr>
          <w:p w14:paraId="48D2472B"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0.718</w:t>
            </w:r>
          </w:p>
        </w:tc>
        <w:tc>
          <w:tcPr>
            <w:tcW w:w="1987" w:type="dxa"/>
            <w:tcBorders>
              <w:left w:val="none" w:sz="0" w:space="0" w:color="auto"/>
              <w:right w:val="none" w:sz="0" w:space="0" w:color="auto"/>
            </w:tcBorders>
          </w:tcPr>
          <w:p w14:paraId="46010BD2"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0.748</w:t>
            </w:r>
          </w:p>
        </w:tc>
        <w:tc>
          <w:tcPr>
            <w:tcW w:w="1987" w:type="dxa"/>
            <w:tcBorders>
              <w:left w:val="none" w:sz="0" w:space="0" w:color="auto"/>
              <w:right w:val="none" w:sz="0" w:space="0" w:color="auto"/>
            </w:tcBorders>
          </w:tcPr>
          <w:p w14:paraId="312F50E8"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0.731</w:t>
            </w:r>
          </w:p>
        </w:tc>
        <w:tc>
          <w:tcPr>
            <w:tcW w:w="1987" w:type="dxa"/>
            <w:tcBorders>
              <w:left w:val="none" w:sz="0" w:space="0" w:color="auto"/>
              <w:right w:val="none" w:sz="0" w:space="0" w:color="auto"/>
            </w:tcBorders>
          </w:tcPr>
          <w:p w14:paraId="7F3F910B" w14:textId="77777777" w:rsidR="00347E89" w:rsidRDefault="009F7926" w:rsidP="00063EB6">
            <w:pPr>
              <w:jc w:val="center"/>
              <w:cnfStyle w:val="000000100000" w:firstRow="0" w:lastRow="0" w:firstColumn="0" w:lastColumn="0" w:oddVBand="0" w:evenVBand="0" w:oddHBand="1" w:evenHBand="0" w:firstRowFirstColumn="0" w:firstRowLastColumn="0" w:lastRowFirstColumn="0" w:lastRowLastColumn="0"/>
            </w:pPr>
            <w:r>
              <w:t>0.740</w:t>
            </w:r>
          </w:p>
        </w:tc>
      </w:tr>
    </w:tbl>
    <w:p w14:paraId="23C9A8CA" w14:textId="4356F149" w:rsidR="00347E89" w:rsidRDefault="009F7926" w:rsidP="00063EB6">
      <w:pPr>
        <w:jc w:val="both"/>
      </w:pPr>
      <w:r>
        <w:t>The Decision Tree is the strongest baseline under the selected F1 criterion, with an F1 score of 0.763 and accuracy of 0.746.</w:t>
      </w:r>
    </w:p>
    <w:p w14:paraId="0A5D0B47" w14:textId="77777777" w:rsidR="00347E89" w:rsidRDefault="009F7926" w:rsidP="00063EB6">
      <w:pPr>
        <w:pStyle w:val="Heading2"/>
        <w:jc w:val="both"/>
      </w:pPr>
      <w:r>
        <w:t>Selected model performance</w:t>
      </w:r>
    </w:p>
    <w:p w14:paraId="2E86579E" w14:textId="77777777" w:rsidR="00347E89" w:rsidRDefault="009F7926" w:rsidP="00063EB6">
      <w:pPr>
        <w:jc w:val="both"/>
      </w:pPr>
      <w:r>
        <w:t>For late-risk class 1, precision is 0.78, recall is 0.74, and F1 is 0.76. The model should be treated as a decision-support baseline rather than a production system.</w:t>
      </w:r>
    </w:p>
    <w:p w14:paraId="72DC2468" w14:textId="77777777" w:rsidR="00347E89" w:rsidRDefault="009F7926">
      <w:r>
        <w:br w:type="page"/>
      </w:r>
    </w:p>
    <w:p w14:paraId="026DAC16" w14:textId="77777777" w:rsidR="00347E89" w:rsidRDefault="009F7926">
      <w:pPr>
        <w:pStyle w:val="Heading1"/>
      </w:pPr>
      <w:r>
        <w:lastRenderedPageBreak/>
        <w:t>09  Recommendations</w:t>
      </w:r>
    </w:p>
    <w:p w14:paraId="446F76AC" w14:textId="77777777" w:rsidR="00347E89" w:rsidRDefault="009F7926">
      <w:pPr>
        <w:spacing w:after="160"/>
      </w:pPr>
      <w:r>
        <w:rPr>
          <w:color w:val="6B8F71"/>
          <w:sz w:val="14"/>
        </w:rPr>
        <w:t>────────────────────────────────────────────────────────</w:t>
      </w:r>
    </w:p>
    <w:p w14:paraId="0328848C" w14:textId="77777777" w:rsidR="00347E89" w:rsidRDefault="009F7926" w:rsidP="00063EB6">
      <w:pPr>
        <w:jc w:val="both"/>
      </w:pPr>
      <w:r>
        <w:rPr>
          <w:b/>
          <w:color w:val="4F6D7A"/>
          <w:sz w:val="26"/>
        </w:rPr>
        <w:t>01  Review shipping-mode performance</w:t>
      </w:r>
    </w:p>
    <w:p w14:paraId="4471B418" w14:textId="77777777" w:rsidR="00347E89" w:rsidRDefault="009F7926" w:rsidP="00063EB6">
      <w:pPr>
        <w:spacing w:after="200"/>
        <w:ind w:left="403"/>
        <w:jc w:val="both"/>
      </w:pPr>
      <w:r>
        <w:t>First Class and Second Class show delay rates of 100.0% and 79.7%. Validate carrier allocation, routing, and promised service levels.</w:t>
      </w:r>
    </w:p>
    <w:p w14:paraId="5916D044" w14:textId="77777777" w:rsidR="00347E89" w:rsidRDefault="009F7926" w:rsidP="00063EB6">
      <w:pPr>
        <w:jc w:val="both"/>
      </w:pPr>
      <w:r>
        <w:rPr>
          <w:b/>
          <w:color w:val="4F6D7A"/>
          <w:sz w:val="26"/>
        </w:rPr>
        <w:t>02  Investigate regional constraints</w:t>
      </w:r>
    </w:p>
    <w:p w14:paraId="5B409F7C" w14:textId="77777777" w:rsidR="00347E89" w:rsidRDefault="009F7926" w:rsidP="00063EB6">
      <w:pPr>
        <w:spacing w:after="200"/>
        <w:ind w:left="403"/>
        <w:jc w:val="both"/>
      </w:pPr>
      <w:r>
        <w:t>Central Africa has the highest regional delay rate at 60.7%. Review carrier coverage, processing time, and regional service assumptions.</w:t>
      </w:r>
    </w:p>
    <w:p w14:paraId="59334FA2" w14:textId="77777777" w:rsidR="00347E89" w:rsidRDefault="009F7926" w:rsidP="00063EB6">
      <w:pPr>
        <w:jc w:val="both"/>
      </w:pPr>
      <w:r>
        <w:rPr>
          <w:b/>
          <w:color w:val="4F6D7A"/>
          <w:sz w:val="26"/>
        </w:rPr>
        <w:t>03  Review high-delay departments</w:t>
      </w:r>
    </w:p>
    <w:p w14:paraId="2082CFCC" w14:textId="77777777" w:rsidR="00347E89" w:rsidRDefault="009F7926" w:rsidP="00063EB6">
      <w:pPr>
        <w:spacing w:after="200"/>
        <w:ind w:left="403"/>
        <w:jc w:val="both"/>
      </w:pPr>
      <w:r>
        <w:t>Pet Shop has the highest department rate at 61.4%. Compare inventory availability, fulfillment time, and carrier assignment.</w:t>
      </w:r>
    </w:p>
    <w:p w14:paraId="556A85B2" w14:textId="77777777" w:rsidR="00347E89" w:rsidRDefault="009F7926" w:rsidP="00063EB6">
      <w:pPr>
        <w:jc w:val="both"/>
      </w:pPr>
      <w:r>
        <w:rPr>
          <w:b/>
          <w:color w:val="4F6D7A"/>
          <w:sz w:val="26"/>
        </w:rPr>
        <w:t>04  Use time patterns for capacity planning</w:t>
      </w:r>
    </w:p>
    <w:p w14:paraId="7297ED87" w14:textId="77777777" w:rsidR="00347E89" w:rsidRDefault="009F7926" w:rsidP="00063EB6">
      <w:pPr>
        <w:spacing w:after="200"/>
        <w:ind w:left="403"/>
        <w:jc w:val="both"/>
      </w:pPr>
      <w:r>
        <w:t>Review month 12 and the highest hourly periods against workload and processing capacity.</w:t>
      </w:r>
    </w:p>
    <w:p w14:paraId="49805B83" w14:textId="77777777" w:rsidR="00347E89" w:rsidRDefault="009F7926" w:rsidP="00063EB6">
      <w:pPr>
        <w:jc w:val="both"/>
      </w:pPr>
      <w:r>
        <w:rPr>
          <w:b/>
          <w:color w:val="4F6D7A"/>
          <w:sz w:val="26"/>
        </w:rPr>
        <w:t>05  Use predictive risk as a prioritization tool</w:t>
      </w:r>
    </w:p>
    <w:p w14:paraId="5C439A03" w14:textId="77777777" w:rsidR="00347E89" w:rsidRDefault="009F7926" w:rsidP="00063EB6">
      <w:pPr>
        <w:spacing w:after="200"/>
        <w:ind w:left="403"/>
        <w:jc w:val="both"/>
      </w:pPr>
      <w:r>
        <w:t>The Decision Tree provides an F1 score of 0.763. Use risk scoring to prioritize operational review while further validating the model.</w:t>
      </w:r>
    </w:p>
    <w:p w14:paraId="287854BC" w14:textId="77777777" w:rsidR="00347E89" w:rsidRDefault="009F7926" w:rsidP="00063EB6">
      <w:pPr>
        <w:jc w:val="both"/>
      </w:pPr>
      <w:r>
        <w:rPr>
          <w:b/>
          <w:color w:val="4F6D7A"/>
          <w:sz w:val="26"/>
        </w:rPr>
        <w:t>06  Expand the financial view</w:t>
      </w:r>
    </w:p>
    <w:p w14:paraId="2B577C80" w14:textId="77777777" w:rsidR="00347E89" w:rsidRDefault="009F7926" w:rsidP="00063EB6">
      <w:pPr>
        <w:spacing w:after="200"/>
        <w:ind w:left="403"/>
        <w:jc w:val="both"/>
      </w:pPr>
      <w:r>
        <w:t>Add order-level revenue, profit, discount, shipping cost, and customer-impact measures to quantify the business cost of delivery performance.</w:t>
      </w:r>
    </w:p>
    <w:p w14:paraId="565009EC" w14:textId="77777777" w:rsidR="00347E89" w:rsidRDefault="009F7926" w:rsidP="00063EB6">
      <w:pPr>
        <w:pStyle w:val="Heading2"/>
        <w:jc w:val="both"/>
      </w:pPr>
      <w:r>
        <w:t>Priority</w:t>
      </w:r>
    </w:p>
    <w:p w14:paraId="57999141" w14:textId="77777777" w:rsidR="00347E89" w:rsidRDefault="009F7926" w:rsidP="00063EB6">
      <w:pPr>
        <w:jc w:val="both"/>
      </w:pPr>
      <w:r>
        <w:t>The first management review should focus on shipping-mode performance and the operating processes behind the highest-delay regions. Predictive scoring can then be used to support order-level prioritization.</w:t>
      </w:r>
    </w:p>
    <w:p w14:paraId="39664162" w14:textId="77777777" w:rsidR="00347E89" w:rsidRDefault="009F7926">
      <w:r>
        <w:br w:type="page"/>
      </w:r>
    </w:p>
    <w:p w14:paraId="22E70D1E" w14:textId="77777777" w:rsidR="00347E89" w:rsidRDefault="009F7926">
      <w:pPr>
        <w:pStyle w:val="Heading1"/>
      </w:pPr>
      <w:r>
        <w:lastRenderedPageBreak/>
        <w:t>10  Conclusion</w:t>
      </w:r>
    </w:p>
    <w:p w14:paraId="14EEFA70" w14:textId="77777777" w:rsidR="00347E89" w:rsidRDefault="009F7926">
      <w:pPr>
        <w:spacing w:after="160"/>
      </w:pPr>
      <w:r>
        <w:rPr>
          <w:color w:val="6B8F71"/>
          <w:sz w:val="14"/>
        </w:rPr>
        <w:t>────────────────────────────────────────────────────────</w:t>
      </w:r>
    </w:p>
    <w:p w14:paraId="2F0A598E" w14:textId="77777777" w:rsidR="00347E89" w:rsidRDefault="009F7926" w:rsidP="00063EB6">
      <w:pPr>
        <w:jc w:val="both"/>
      </w:pPr>
      <w:r>
        <w:t>The analysis shows a delivery operation with a 57.3% observed delay rate across 180,518 cleaned orders. Shipping mode provides the clearest separation in delivery performance, while customer segment and day-of-week differences are comparatively small.</w:t>
      </w:r>
    </w:p>
    <w:p w14:paraId="3B1A5F46" w14:textId="77777777" w:rsidR="00347E89" w:rsidRDefault="009F7926" w:rsidP="00063EB6">
      <w:pPr>
        <w:jc w:val="both"/>
      </w:pPr>
      <w:r>
        <w:t>Regional and department patterns provide additional areas for operational review. The financial comparison shows modest differences in selected average measures between delayed and on-time orders, but the current analysis does not establish causal financial impact.</w:t>
      </w:r>
    </w:p>
    <w:p w14:paraId="7DC5CD3A" w14:textId="77777777" w:rsidR="00347E89" w:rsidRDefault="009F7926" w:rsidP="00063EB6">
      <w:pPr>
        <w:jc w:val="both"/>
      </w:pPr>
      <w:r>
        <w:t>The predictive analysis provides a useful baseline. The Decision Tree achieved the highest F1 score among the three tested models. Further improvement would require additional operational features, validation, and model tuning.</w:t>
      </w:r>
    </w:p>
    <w:p w14:paraId="285F313E" w14:textId="77777777" w:rsidR="00347E89" w:rsidRDefault="009F7926" w:rsidP="00063EB6">
      <w:pPr>
        <w:jc w:val="both"/>
      </w:pPr>
      <w:r>
        <w:rPr>
          <w:b/>
          <w:color w:val="6B8F71"/>
          <w:sz w:val="18"/>
        </w:rPr>
        <w:t xml:space="preserve">MANAGEMENT TAKEAWAY  </w:t>
      </w:r>
      <w:r>
        <w:t>The delivery issue is broad enough to require process-level attention, not only case-by-case intervention. The analysis provides a practical starting point for prioritizing that review.</w:t>
      </w:r>
    </w:p>
    <w:p w14:paraId="66F0E512" w14:textId="77777777" w:rsidR="00347E89" w:rsidRDefault="009F7926">
      <w:r>
        <w:br w:type="page"/>
      </w:r>
    </w:p>
    <w:p w14:paraId="4290E3AB" w14:textId="77777777" w:rsidR="00347E89" w:rsidRDefault="009F7926">
      <w:pPr>
        <w:pStyle w:val="Heading1"/>
      </w:pPr>
      <w:r>
        <w:lastRenderedPageBreak/>
        <w:t>Appendix  Methodology</w:t>
      </w:r>
    </w:p>
    <w:p w14:paraId="4B7AE1D3" w14:textId="77777777" w:rsidR="00347E89" w:rsidRDefault="009F7926">
      <w:pPr>
        <w:spacing w:after="160"/>
      </w:pPr>
      <w:r>
        <w:rPr>
          <w:color w:val="6B8F71"/>
          <w:sz w:val="14"/>
        </w:rPr>
        <w:t>────────────────────────────────────────────────────────</w:t>
      </w:r>
    </w:p>
    <w:tbl>
      <w:tblPr>
        <w:tblStyle w:val="LightShading-Accent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953"/>
        <w:gridCol w:w="4953"/>
      </w:tblGrid>
      <w:tr w:rsidR="00347E89" w14:paraId="645ED772" w14:textId="77777777" w:rsidTr="00063EB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top w:val="none" w:sz="0" w:space="0" w:color="auto"/>
              <w:left w:val="none" w:sz="0" w:space="0" w:color="auto"/>
              <w:bottom w:val="none" w:sz="0" w:space="0" w:color="auto"/>
              <w:right w:val="none" w:sz="0" w:space="0" w:color="auto"/>
            </w:tcBorders>
            <w:vAlign w:val="center"/>
          </w:tcPr>
          <w:p w14:paraId="4436392A" w14:textId="77777777" w:rsidR="00347E89" w:rsidRDefault="009F7926" w:rsidP="00063EB6">
            <w:pPr>
              <w:jc w:val="center"/>
            </w:pPr>
            <w:r>
              <w:t>Step</w:t>
            </w:r>
          </w:p>
        </w:tc>
        <w:tc>
          <w:tcPr>
            <w:tcW w:w="4968" w:type="dxa"/>
            <w:tcBorders>
              <w:top w:val="none" w:sz="0" w:space="0" w:color="auto"/>
              <w:left w:val="none" w:sz="0" w:space="0" w:color="auto"/>
              <w:bottom w:val="none" w:sz="0" w:space="0" w:color="auto"/>
              <w:right w:val="none" w:sz="0" w:space="0" w:color="auto"/>
            </w:tcBorders>
            <w:vAlign w:val="center"/>
          </w:tcPr>
          <w:p w14:paraId="6F3BCE1B" w14:textId="77777777" w:rsidR="00347E89" w:rsidRDefault="009F7926" w:rsidP="00063EB6">
            <w:pPr>
              <w:jc w:val="center"/>
              <w:cnfStyle w:val="100000000000" w:firstRow="1" w:lastRow="0" w:firstColumn="0" w:lastColumn="0" w:oddVBand="0" w:evenVBand="0" w:oddHBand="0" w:evenHBand="0" w:firstRowFirstColumn="0" w:firstRowLastColumn="0" w:lastRowFirstColumn="0" w:lastRowLastColumn="0"/>
            </w:pPr>
            <w:r>
              <w:t>Approach</w:t>
            </w:r>
          </w:p>
        </w:tc>
      </w:tr>
      <w:tr w:rsidR="00347E89" w14:paraId="6497A4D9"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vAlign w:val="center"/>
          </w:tcPr>
          <w:p w14:paraId="257C1126" w14:textId="77777777" w:rsidR="00347E89" w:rsidRDefault="009F7926" w:rsidP="00063EB6">
            <w:r>
              <w:t>Dataset</w:t>
            </w:r>
          </w:p>
        </w:tc>
        <w:tc>
          <w:tcPr>
            <w:tcW w:w="4968" w:type="dxa"/>
            <w:tcBorders>
              <w:left w:val="none" w:sz="0" w:space="0" w:color="auto"/>
              <w:right w:val="none" w:sz="0" w:space="0" w:color="auto"/>
            </w:tcBorders>
            <w:vAlign w:val="center"/>
          </w:tcPr>
          <w:p w14:paraId="23AAA564" w14:textId="77777777" w:rsidR="00347E89" w:rsidRDefault="009F7926" w:rsidP="00063EB6">
            <w:pPr>
              <w:cnfStyle w:val="000000100000" w:firstRow="0" w:lastRow="0" w:firstColumn="0" w:lastColumn="0" w:oddVBand="0" w:evenVBand="0" w:oddHBand="1" w:evenHBand="0" w:firstRowFirstColumn="0" w:firstRowLastColumn="0" w:lastRowFirstColumn="0" w:lastRowLastColumn="0"/>
            </w:pPr>
            <w:r>
              <w:t>DataCo Supply Chain dataset</w:t>
            </w:r>
          </w:p>
        </w:tc>
      </w:tr>
      <w:tr w:rsidR="00347E89" w14:paraId="26A73A93"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89C0987" w14:textId="77777777" w:rsidR="00347E89" w:rsidRDefault="009F7926" w:rsidP="00063EB6">
            <w:r>
              <w:t>Selection</w:t>
            </w:r>
          </w:p>
        </w:tc>
        <w:tc>
          <w:tcPr>
            <w:tcW w:w="4968" w:type="dxa"/>
            <w:vAlign w:val="center"/>
          </w:tcPr>
          <w:p w14:paraId="05263AB7" w14:textId="77777777" w:rsidR="00347E89" w:rsidRDefault="009F7926" w:rsidP="00063EB6">
            <w:pPr>
              <w:cnfStyle w:val="000000000000" w:firstRow="0" w:lastRow="0" w:firstColumn="0" w:lastColumn="0" w:oddVBand="0" w:evenVBand="0" w:oddHBand="0" w:evenHBand="0" w:firstRowFirstColumn="0" w:firstRowLastColumn="0" w:lastRowFirstColumn="0" w:lastRowLastColumn="0"/>
            </w:pPr>
            <w:r>
              <w:t>14 relevant delivery, business, financial, and date fields</w:t>
            </w:r>
          </w:p>
        </w:tc>
      </w:tr>
      <w:tr w:rsidR="00347E89" w14:paraId="5AAFA4B4"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vAlign w:val="center"/>
          </w:tcPr>
          <w:p w14:paraId="787EE6CD" w14:textId="77777777" w:rsidR="00347E89" w:rsidRDefault="009F7926" w:rsidP="00063EB6">
            <w:r>
              <w:t>Cleaning</w:t>
            </w:r>
          </w:p>
        </w:tc>
        <w:tc>
          <w:tcPr>
            <w:tcW w:w="4968" w:type="dxa"/>
            <w:tcBorders>
              <w:left w:val="none" w:sz="0" w:space="0" w:color="auto"/>
              <w:right w:val="none" w:sz="0" w:space="0" w:color="auto"/>
            </w:tcBorders>
            <w:vAlign w:val="center"/>
          </w:tcPr>
          <w:p w14:paraId="376938AA" w14:textId="77777777" w:rsidR="00347E89" w:rsidRDefault="009F7926" w:rsidP="00063EB6">
            <w:pPr>
              <w:cnfStyle w:val="000000100000" w:firstRow="0" w:lastRow="0" w:firstColumn="0" w:lastColumn="0" w:oddVBand="0" w:evenVBand="0" w:oddHBand="1" w:evenHBand="0" w:firstRowFirstColumn="0" w:firstRowLastColumn="0" w:lastRowFirstColumn="0" w:lastRowLastColumn="0"/>
            </w:pPr>
            <w:r>
              <w:t>1 duplicate row removed; dates converted to datetime</w:t>
            </w:r>
          </w:p>
        </w:tc>
      </w:tr>
      <w:tr w:rsidR="00347E89" w14:paraId="45594AEF"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F4E6A27" w14:textId="77777777" w:rsidR="00347E89" w:rsidRDefault="009F7926" w:rsidP="00063EB6">
            <w:r>
              <w:t>Delay measure</w:t>
            </w:r>
          </w:p>
        </w:tc>
        <w:tc>
          <w:tcPr>
            <w:tcW w:w="4968" w:type="dxa"/>
            <w:vAlign w:val="center"/>
          </w:tcPr>
          <w:p w14:paraId="1E4B2F10" w14:textId="77777777" w:rsidR="00347E89" w:rsidRDefault="009F7926" w:rsidP="00063EB6">
            <w:pPr>
              <w:cnfStyle w:val="000000000000" w:firstRow="0" w:lastRow="0" w:firstColumn="0" w:lastColumn="0" w:oddVBand="0" w:evenVBand="0" w:oddHBand="0" w:evenHBand="0" w:firstRowFirstColumn="0" w:firstRowLastColumn="0" w:lastRowFirstColumn="0" w:lastRowLastColumn="0"/>
            </w:pPr>
            <w:r>
              <w:t>Actual shipping days minus scheduled shipping days</w:t>
            </w:r>
          </w:p>
        </w:tc>
      </w:tr>
      <w:tr w:rsidR="00347E89" w14:paraId="196F0BFB"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vAlign w:val="center"/>
          </w:tcPr>
          <w:p w14:paraId="0D9C8FAA" w14:textId="77777777" w:rsidR="00347E89" w:rsidRDefault="009F7926" w:rsidP="00063EB6">
            <w:r>
              <w:t>Delayed flag</w:t>
            </w:r>
          </w:p>
        </w:tc>
        <w:tc>
          <w:tcPr>
            <w:tcW w:w="4968" w:type="dxa"/>
            <w:tcBorders>
              <w:left w:val="none" w:sz="0" w:space="0" w:color="auto"/>
              <w:right w:val="none" w:sz="0" w:space="0" w:color="auto"/>
            </w:tcBorders>
            <w:vAlign w:val="center"/>
          </w:tcPr>
          <w:p w14:paraId="4A402242" w14:textId="77777777" w:rsidR="00347E89" w:rsidRDefault="009F7926" w:rsidP="00063EB6">
            <w:pPr>
              <w:cnfStyle w:val="000000100000" w:firstRow="0" w:lastRow="0" w:firstColumn="0" w:lastColumn="0" w:oddVBand="0" w:evenVBand="0" w:oddHBand="1" w:evenHBand="0" w:firstRowFirstColumn="0" w:firstRowLastColumn="0" w:lastRowFirstColumn="0" w:lastRowLastColumn="0"/>
            </w:pPr>
            <w:r>
              <w:t>Delay greater than zero</w:t>
            </w:r>
          </w:p>
        </w:tc>
      </w:tr>
      <w:tr w:rsidR="00347E89" w14:paraId="041D7AA6"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2B5308" w14:textId="77777777" w:rsidR="00347E89" w:rsidRDefault="009F7926" w:rsidP="00063EB6">
            <w:r>
              <w:t>Time features</w:t>
            </w:r>
          </w:p>
        </w:tc>
        <w:tc>
          <w:tcPr>
            <w:tcW w:w="4968" w:type="dxa"/>
            <w:vAlign w:val="center"/>
          </w:tcPr>
          <w:p w14:paraId="1D1D3240" w14:textId="77777777" w:rsidR="00347E89" w:rsidRDefault="009F7926" w:rsidP="00063EB6">
            <w:pPr>
              <w:cnfStyle w:val="000000000000" w:firstRow="0" w:lastRow="0" w:firstColumn="0" w:lastColumn="0" w:oddVBand="0" w:evenVBand="0" w:oddHBand="0" w:evenHBand="0" w:firstRowFirstColumn="0" w:firstRowLastColumn="0" w:lastRowFirstColumn="0" w:lastRowLastColumn="0"/>
            </w:pPr>
            <w:r>
              <w:t>Month, day of week, and hour</w:t>
            </w:r>
          </w:p>
        </w:tc>
      </w:tr>
      <w:tr w:rsidR="00347E89" w14:paraId="5FCC9340"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vAlign w:val="center"/>
          </w:tcPr>
          <w:p w14:paraId="79F6EB06" w14:textId="77777777" w:rsidR="00347E89" w:rsidRDefault="009F7926" w:rsidP="00063EB6">
            <w:r>
              <w:t>Encoding</w:t>
            </w:r>
          </w:p>
        </w:tc>
        <w:tc>
          <w:tcPr>
            <w:tcW w:w="4968" w:type="dxa"/>
            <w:tcBorders>
              <w:left w:val="none" w:sz="0" w:space="0" w:color="auto"/>
              <w:right w:val="none" w:sz="0" w:space="0" w:color="auto"/>
            </w:tcBorders>
            <w:vAlign w:val="center"/>
          </w:tcPr>
          <w:p w14:paraId="10A33247" w14:textId="77777777" w:rsidR="00347E89" w:rsidRDefault="009F7926" w:rsidP="00063EB6">
            <w:pPr>
              <w:cnfStyle w:val="000000100000" w:firstRow="0" w:lastRow="0" w:firstColumn="0" w:lastColumn="0" w:oddVBand="0" w:evenVBand="0" w:oddHBand="1" w:evenHBand="0" w:firstRowFirstColumn="0" w:firstRowLastColumn="0" w:lastRowFirstColumn="0" w:lastRowLastColumn="0"/>
            </w:pPr>
            <w:r>
              <w:t>One-hot encoding for categorical ML features</w:t>
            </w:r>
          </w:p>
        </w:tc>
      </w:tr>
      <w:tr w:rsidR="00347E89" w14:paraId="5993DA9C"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639E6B3" w14:textId="77777777" w:rsidR="00347E89" w:rsidRDefault="009F7926" w:rsidP="00063EB6">
            <w:r>
              <w:t>Split</w:t>
            </w:r>
          </w:p>
        </w:tc>
        <w:tc>
          <w:tcPr>
            <w:tcW w:w="4968" w:type="dxa"/>
            <w:vAlign w:val="center"/>
          </w:tcPr>
          <w:p w14:paraId="365442CF" w14:textId="77777777" w:rsidR="00347E89" w:rsidRDefault="009F7926" w:rsidP="00063EB6">
            <w:pPr>
              <w:cnfStyle w:val="000000000000" w:firstRow="0" w:lastRow="0" w:firstColumn="0" w:lastColumn="0" w:oddVBand="0" w:evenVBand="0" w:oddHBand="0" w:evenHBand="0" w:firstRowFirstColumn="0" w:firstRowLastColumn="0" w:lastRowFirstColumn="0" w:lastRowLastColumn="0"/>
            </w:pPr>
            <w:r>
              <w:t>80% train / 20% test, stratified</w:t>
            </w:r>
          </w:p>
        </w:tc>
      </w:tr>
      <w:tr w:rsidR="00347E89" w14:paraId="3820DD0E" w14:textId="77777777" w:rsidTr="00063EB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Borders>
              <w:left w:val="none" w:sz="0" w:space="0" w:color="auto"/>
              <w:right w:val="none" w:sz="0" w:space="0" w:color="auto"/>
            </w:tcBorders>
            <w:vAlign w:val="center"/>
          </w:tcPr>
          <w:p w14:paraId="18368397" w14:textId="77777777" w:rsidR="00347E89" w:rsidRDefault="009F7926" w:rsidP="00063EB6">
            <w:r>
              <w:t>Models</w:t>
            </w:r>
          </w:p>
        </w:tc>
        <w:tc>
          <w:tcPr>
            <w:tcW w:w="4968" w:type="dxa"/>
            <w:tcBorders>
              <w:left w:val="none" w:sz="0" w:space="0" w:color="auto"/>
              <w:right w:val="none" w:sz="0" w:space="0" w:color="auto"/>
            </w:tcBorders>
            <w:vAlign w:val="center"/>
          </w:tcPr>
          <w:p w14:paraId="7E63076D" w14:textId="77777777" w:rsidR="00347E89" w:rsidRDefault="009F7926" w:rsidP="00063EB6">
            <w:pPr>
              <w:cnfStyle w:val="000000100000" w:firstRow="0" w:lastRow="0" w:firstColumn="0" w:lastColumn="0" w:oddVBand="0" w:evenVBand="0" w:oddHBand="1" w:evenHBand="0" w:firstRowFirstColumn="0" w:firstRowLastColumn="0" w:lastRowFirstColumn="0" w:lastRowLastColumn="0"/>
            </w:pPr>
            <w:r>
              <w:t>Logistic Regression, Decision Tree, Random Forest</w:t>
            </w:r>
          </w:p>
        </w:tc>
      </w:tr>
      <w:tr w:rsidR="00347E89" w14:paraId="4CC7875B" w14:textId="77777777" w:rsidTr="00063EB6">
        <w:trPr>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FCD30AF" w14:textId="77777777" w:rsidR="00347E89" w:rsidRDefault="009F7926" w:rsidP="00063EB6">
            <w:r>
              <w:t>Selection criterion</w:t>
            </w:r>
          </w:p>
        </w:tc>
        <w:tc>
          <w:tcPr>
            <w:tcW w:w="4968" w:type="dxa"/>
            <w:vAlign w:val="center"/>
          </w:tcPr>
          <w:p w14:paraId="5DD1982B" w14:textId="77777777" w:rsidR="00347E89" w:rsidRDefault="009F7926" w:rsidP="00063EB6">
            <w:pPr>
              <w:cnfStyle w:val="000000000000" w:firstRow="0" w:lastRow="0" w:firstColumn="0" w:lastColumn="0" w:oddVBand="0" w:evenVBand="0" w:oddHBand="0" w:evenHBand="0" w:firstRowFirstColumn="0" w:firstRowLastColumn="0" w:lastRowFirstColumn="0" w:lastRowLastColumn="0"/>
            </w:pPr>
            <w:r>
              <w:t>Highest F1 score</w:t>
            </w:r>
          </w:p>
        </w:tc>
      </w:tr>
    </w:tbl>
    <w:p w14:paraId="1DA090D1" w14:textId="77777777" w:rsidR="00347E89" w:rsidRDefault="00347E89"/>
    <w:p w14:paraId="33E064D6" w14:textId="54A9CE99" w:rsidR="00347E89" w:rsidRDefault="00347E89" w:rsidP="00063EB6">
      <w:pPr>
        <w:jc w:val="both"/>
      </w:pPr>
    </w:p>
    <w:sectPr w:rsidR="00347E89" w:rsidSect="00063EB6">
      <w:headerReference w:type="default" r:id="rId18"/>
      <w:footerReference w:type="default" r:id="rId19"/>
      <w:pgSz w:w="12240" w:h="15840"/>
      <w:pgMar w:top="936" w:right="1152" w:bottom="936"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C73C" w14:textId="77777777" w:rsidR="009F7926" w:rsidRDefault="009F7926">
      <w:pPr>
        <w:spacing w:after="0" w:line="240" w:lineRule="auto"/>
      </w:pPr>
      <w:r>
        <w:separator/>
      </w:r>
    </w:p>
  </w:endnote>
  <w:endnote w:type="continuationSeparator" w:id="0">
    <w:p w14:paraId="0FB6ECDD" w14:textId="77777777" w:rsidR="009F7926" w:rsidRDefault="009F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82FEB" w14:textId="77777777" w:rsidR="00347E89" w:rsidRDefault="009F7926">
    <w:pPr>
      <w:pStyle w:val="Footer"/>
      <w:jc w:val="center"/>
    </w:pPr>
    <w:r>
      <w:rPr>
        <w:color w:val="7A858A"/>
        <w:sz w:val="16"/>
      </w:rPr>
      <w:t>Delivery Performance &amp; Late Delivery Prediction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A475F" w14:textId="77777777" w:rsidR="009F7926" w:rsidRDefault="009F7926">
      <w:pPr>
        <w:spacing w:after="0" w:line="240" w:lineRule="auto"/>
      </w:pPr>
      <w:r>
        <w:separator/>
      </w:r>
    </w:p>
  </w:footnote>
  <w:footnote w:type="continuationSeparator" w:id="0">
    <w:p w14:paraId="05C37007" w14:textId="77777777" w:rsidR="009F7926" w:rsidRDefault="009F7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6167" w14:textId="77777777" w:rsidR="00347E89" w:rsidRDefault="009F7926">
    <w:pPr>
      <w:pStyle w:val="Header"/>
    </w:pPr>
    <w:r>
      <w:rPr>
        <w:b/>
        <w:color w:val="4F6D7A"/>
        <w:sz w:val="16"/>
      </w:rPr>
      <w:t>SUPPLY CHAIN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891354">
    <w:abstractNumId w:val="8"/>
  </w:num>
  <w:num w:numId="2" w16cid:durableId="362511590">
    <w:abstractNumId w:val="6"/>
  </w:num>
  <w:num w:numId="3" w16cid:durableId="1172837154">
    <w:abstractNumId w:val="5"/>
  </w:num>
  <w:num w:numId="4" w16cid:durableId="1802771542">
    <w:abstractNumId w:val="4"/>
  </w:num>
  <w:num w:numId="5" w16cid:durableId="1232812438">
    <w:abstractNumId w:val="7"/>
  </w:num>
  <w:num w:numId="6" w16cid:durableId="495342050">
    <w:abstractNumId w:val="3"/>
  </w:num>
  <w:num w:numId="7" w16cid:durableId="493834391">
    <w:abstractNumId w:val="2"/>
  </w:num>
  <w:num w:numId="8" w16cid:durableId="428166207">
    <w:abstractNumId w:val="1"/>
  </w:num>
  <w:num w:numId="9" w16cid:durableId="91200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EB6"/>
    <w:rsid w:val="0015074B"/>
    <w:rsid w:val="0019797F"/>
    <w:rsid w:val="0029639D"/>
    <w:rsid w:val="00326F90"/>
    <w:rsid w:val="00347E89"/>
    <w:rsid w:val="007562C2"/>
    <w:rsid w:val="00757506"/>
    <w:rsid w:val="009F79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EC00F"/>
  <w14:defaultImageDpi w14:val="300"/>
  <w15:docId w15:val="{5282A04E-6FA3-45F5-A5AC-C94D866E7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6D7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Rudragiri Goswami</cp:lastModifiedBy>
  <cp:revision>2</cp:revision>
  <dcterms:created xsi:type="dcterms:W3CDTF">2026-10-04T06:14:00Z</dcterms:created>
  <dcterms:modified xsi:type="dcterms:W3CDTF">2026-10-04T06:14:00Z</dcterms:modified>
  <cp:category/>
</cp:coreProperties>
</file>