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E2D3D"/>
          <w:sz w:val="34"/>
          <w:szCs w:val="34"/>
        </w:rPr>
        <w:t xml:space="preserve">WISING INTELLIGENCE PRIVATE LIMITED</w:t>
      </w:r>
    </w:p>
    <w:p>
      <w:pPr>
        <w:spacing w:after="40"/>
      </w:pPr>
      <w:r>
        <w:rPr>
          <w:rFonts w:ascii="Arial" w:cs="Arial" w:eastAsia="Arial" w:hAnsi="Arial"/>
          <w:b/>
          <w:bCs/>
          <w:color w:val="1E2D3D"/>
          <w:sz w:val="26"/>
          <w:szCs w:val="26"/>
        </w:rPr>
        <w:t xml:space="preserve">Tax Engine Specification — Domestic Module 7</w:t>
      </w:r>
    </w:p>
    <w:p>
      <w:pPr>
        <w:spacing w:after="200"/>
      </w:pPr>
      <w:r>
        <w:rPr>
          <w:rFonts w:ascii="Arial" w:cs="Arial" w:eastAsia="Arial" w:hAnsi="Arial"/>
          <w:b/>
          <w:bCs/>
          <w:color w:val="1E2D3D"/>
          <w:sz w:val="28"/>
          <w:szCs w:val="28"/>
        </w:rPr>
        <w:t xml:space="preserve">TDS — Comprehensive Rate Table and Reconciliation (All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Field</w:t>
            </w:r>
          </w:p>
        </w:tc>
        <w:tc>
          <w:tcPr>
            <w:tcW w:type="dxa" w:w="7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Document 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WISING-TAX-DOM-007 v2.0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Version</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2.0 — NRI rate column added to Section 1 master table per web-verified FY 2025-26 rates from incometaxindia.gov.in (AY 2026-27). Section 2 NRI decision tree removed — see WISING-NRI-TAX-002.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DRAFT — CA sign-off required on full TDS rate table (Section 5 Item 1) before build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Author</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Sarthak — CA, CEO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Consumer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Ayush (Backend Engineer, Amazon, BITS Pilani) · Nihal (CPO)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Governing Law</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ITA 2025 s.192 to s.206AA · Finance Act 2024/2025 · NRI: s.195, s.115A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NRI rates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Income Tax Department, Government of India — TDS Rates AY 2026-27 (incometaxindia.gov.in/charts tables/tds rates.htm)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Date</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March 2026</w:t>
            </w:r>
          </w:p>
        </w:tc>
      </w:tr>
    </w:tbl>
    <w:p>
      <w:pPr>
        <w:spacing w:after="100"/>
      </w:pPr>
      <w:r>
        <w:t xml:space="preserve"/>
      </w:r>
    </w:p>
    <w:p>
      <w:pPr>
        <w:shd w:fill="E8F4F8" w:val="clear"/>
        <w:spacing w:after="0" w:before="80"/>
        <w:ind w:left="360" w:right="360"/>
      </w:pPr>
      <w:r>
        <w:rPr>
          <w:rFonts w:ascii="Arial" w:cs="Arial" w:eastAsia="Arial" w:hAnsi="Arial"/>
          <w:b/>
          <w:bCs/>
          <w:color w:val="004D6B"/>
          <w:sz w:val="18"/>
          <w:szCs w:val="18"/>
        </w:rPr>
        <w:t xml:space="preserve">ℹ   Note  </w:t>
      </w:r>
      <w:r>
        <w:rPr>
          <w:rFonts w:ascii="Arial" w:cs="Arial" w:eastAsia="Arial" w:hAnsi="Arial"/>
          <w:color w:val="004D6B"/>
          <w:sz w:val="18"/>
          <w:szCs w:val="18"/>
        </w:rPr>
        <w:t xml:space="preserve">Build Step 11 | TDS — Read first: Residential Status + GTI Assembly (DOM-05). This unlocks: Net tax payable = gross tax minus TDS.</w:t>
      </w:r>
    </w:p>
    <w:p>
      <w:pPr>
        <w:shd w:fill="E8F4F8" w:val="clear"/>
        <w:spacing w:after="80" w:before="0"/>
        <w:ind w:left="360" w:right="360"/>
      </w:pPr>
      <w:r>
        <w:rPr>
          <w:rFonts w:ascii="Arial" w:cs="Arial" w:eastAsia="Arial" w:hAnsi="Arial"/>
          <w:color w:val="004D6B"/>
          <w:sz w:val="18"/>
          <w:szCs w:val="18"/>
        </w:rPr>
        <w:t xml:space="preserve">       NRI users: NRI-TAX-002 overrides this document for full NRI TDS decision tree. This document provides resident rates and the side-by-side comparison table.</w:t>
      </w:r>
    </w:p>
    <w:p>
      <w:pPr>
        <w:spacing w:after="100"/>
      </w:pPr>
      <w:r>
        <w:t xml:space="preserve"/>
      </w:r>
    </w:p>
    <w:p>
      <w:pPr>
        <w:shd w:fill="E8F4F8" w:val="clear"/>
        <w:spacing w:after="80" w:before="80"/>
        <w:ind w:left="360" w:right="360"/>
      </w:pPr>
      <w:r>
        <w:rPr>
          <w:rFonts w:ascii="Arial" w:cs="Arial" w:eastAsia="Arial" w:hAnsi="Arial"/>
          <w:b/>
          <w:bCs/>
          <w:color w:val="004D6B"/>
          <w:sz w:val="18"/>
          <w:szCs w:val="18"/>
        </w:rPr>
        <w:t xml:space="preserve">ℹ   Note  </w:t>
      </w:r>
      <w:r>
        <w:rPr>
          <w:rFonts w:ascii="Arial" w:cs="Arial" w:eastAsia="Arial" w:hAnsi="Arial"/>
          <w:color w:val="004D6B"/>
          <w:sz w:val="18"/>
          <w:szCs w:val="18"/>
        </w:rPr>
        <w:t xml:space="preserve">Scope legend: DOMESTIC — residents only. NRI ONLY — NR/RNOR specific. BOTH — all taxpayers.</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0: Purpose</w:t>
      </w:r>
    </w:p>
    <w:p>
      <w:pPr>
        <w:shd w:fill="E8F4F8" w:val="clear"/>
        <w:spacing w:after="80" w:before="80"/>
        <w:ind w:left="360" w:right="360"/>
      </w:pPr>
      <w:r>
        <w:rPr>
          <w:rFonts w:ascii="Arial" w:cs="Arial" w:eastAsia="Arial" w:hAnsi="Arial"/>
          <w:b/>
          <w:bCs/>
          <w:color w:val="154360"/>
          <w:sz w:val="18"/>
          <w:szCs w:val="18"/>
        </w:rPr>
        <w:t xml:space="preserve">▌   BOTH  </w:t>
      </w:r>
      <w:r>
        <w:rPr>
          <w:rFonts w:ascii="Arial" w:cs="Arial" w:eastAsia="Arial" w:hAnsi="Arial"/>
          <w:color w:val="154360"/>
          <w:sz w:val="18"/>
          <w:szCs w:val="18"/>
        </w:rPr>
        <w:t xml:space="preserve">BOTH — TDS applies to all taxpayers. NRI rates differ significantly. This module provides the master TDS rate reference for ALL sections, combining resident rates with NRI rates side-by-side. This is the single authoritative TDS rate reference document.</w:t>
      </w:r>
    </w:p>
    <w:p>
      <w:pPr>
        <w:spacing w:after="100"/>
      </w:pPr>
      <w:r>
        <w:t xml:space="preserve"/>
      </w:r>
    </w:p>
    <w:p>
      <w:pPr>
        <w:spacing w:after="100"/>
        <w:jc w:val="both"/>
      </w:pPr>
      <w:r>
        <w:rPr>
          <w:rFonts w:ascii="Arial" w:cs="Arial" w:eastAsia="Arial" w:hAnsi="Arial"/>
          <w:sz w:val="20"/>
          <w:szCs w:val="20"/>
        </w:rPr>
        <w:t xml:space="preserve">The existing Tax Logic Spec v6 covers TDS for VDA (s.194S), salary (s.192), dividend (s.194), and ESOP. NRI-TAX-002 covers the full NRI TDS decision tree with DTAA override and s.206AA. This module provides the complete picture: every TDS section relevant to Wising users, resident and NRI rates side-by-side, and the reconciliation logic against Form 26AS and AIS.</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1: Master TDS Rate Table — Resident and NRI Rates (FY 2025-26 / AY 2026-27)</w:t>
      </w:r>
    </w:p>
    <w:p>
      <w:pPr>
        <w:shd w:fill="E8F4F8" w:val="clear"/>
        <w:spacing w:after="0" w:before="80"/>
        <w:ind w:left="360" w:right="360"/>
      </w:pPr>
      <w:r>
        <w:rPr>
          <w:rFonts w:ascii="Arial" w:cs="Arial" w:eastAsia="Arial" w:hAnsi="Arial"/>
          <w:b/>
          <w:bCs/>
          <w:color w:val="004D6B"/>
          <w:sz w:val="18"/>
          <w:szCs w:val="18"/>
        </w:rPr>
        <w:t xml:space="preserve">ℹ   Note  </w:t>
      </w:r>
      <w:r>
        <w:rPr>
          <w:rFonts w:ascii="Arial" w:cs="Arial" w:eastAsia="Arial" w:hAnsi="Arial"/>
          <w:color w:val="004D6B"/>
          <w:sz w:val="18"/>
          <w:szCs w:val="18"/>
        </w:rPr>
        <w:t xml:space="preserve">Source: Income Tax Department, Government of India — TDS Rates AY 2026-27 (official).</w:t>
      </w:r>
    </w:p>
    <w:p>
      <w:pPr>
        <w:shd w:fill="E8F4F8" w:val="clear"/>
        <w:spacing w:after="0" w:before="0"/>
        <w:ind w:left="360" w:right="360"/>
      </w:pPr>
      <w:r>
        <w:rPr>
          <w:rFonts w:ascii="Arial" w:cs="Arial" w:eastAsia="Arial" w:hAnsi="Arial"/>
          <w:color w:val="004D6B"/>
          <w:sz w:val="18"/>
          <w:szCs w:val="18"/>
        </w:rPr>
        <w:t xml:space="preserve">       NRI rates are the domestic statutory rates. DTAA may reduce these — see WISING-NRI-TAX-002 for the full override chain.</w:t>
      </w:r>
    </w:p>
    <w:p>
      <w:pPr>
        <w:shd w:fill="E8F4F8" w:val="clear"/>
        <w:spacing w:after="80" w:before="0"/>
        <w:ind w:left="360" w:right="360"/>
      </w:pPr>
      <w:r>
        <w:rPr>
          <w:rFonts w:ascii="Arial" w:cs="Arial" w:eastAsia="Arial" w:hAnsi="Arial"/>
          <w:color w:val="004D6B"/>
          <w:sz w:val="18"/>
          <w:szCs w:val="18"/>
        </w:rPr>
        <w:t xml:space="preserve">       All NRI rates under s.195 must be increased by applicable surcharge and 4% Health and Education Cess. Resident rates do not attract cess at TDS stage.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300"/>
        <w:gridCol w:w="1600"/>
        <w:gridCol w:w="2200"/>
        <w:gridCol w:w="1260"/>
      </w:tblGrid>
      <w:tr>
        <w:trPr>
          <w:tblHeader/>
        </w:trPr>
        <w:tc>
          <w:tcPr>
            <w:tcW w:type="dxa" w:w="9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TDS Section</w:t>
            </w:r>
          </w:p>
        </w:tc>
        <w:tc>
          <w:tcPr>
            <w:tcW w:type="dxa" w:w="21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Income Type</w:t>
            </w:r>
          </w:p>
        </w:tc>
        <w:tc>
          <w:tcPr>
            <w:tcW w:type="dxa" w:w="13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Resident Rate</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Threshold (Resident)</w:t>
            </w:r>
          </w:p>
        </w:tc>
        <w:tc>
          <w:tcPr>
            <w:tcW w:type="dxa" w:w="2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NRI Rate (s.195 / specific section)</w:t>
            </w:r>
          </w:p>
        </w:tc>
        <w:tc>
          <w:tcPr>
            <w:tcW w:type="dxa" w:w="12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Scope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Salary income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Per slab (estimated annual tax)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No threshold — all salary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Per slab — same for NRI employees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BOTH</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s.193</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Interest on securities (govt bonds, debentures)</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10%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Rs 10,000 p.a.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30% (s.195) or DTAA rate — surcharge + cess apply</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BOTH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Dividend from Indian company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Rs 5,000 per company 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20% (s.195 / s.115A) or DTAA rate. Note: DTAA India-US Art.10 = 15% (above 10% holding) or 25% (below 10%). Lower of DTAA and domestic applies.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BOTH</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s.194A</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Interest other than securities (FD, savings, loans)</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10%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Rs 40,000 p.a. (Rs 50,000 for seniors)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NRO interest: 30% (s.195) or DTAA rate. NRE/FCNR interest: EXEMPT s.10(4)/s.10(15). Infrastructure bonds s.194LC: 5%. Govt securities s.194LD: 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BOTH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s.194B</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Lottery / prize / game show winnings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Rs 10,000 per prize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30% — same rate applies to NRI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BOTH</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s.194BA</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Winnings from online games</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30%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No threshold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30% — same for NRI</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BOTH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s.194C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Payment to contractor / sub-contractor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1% (individual/HUF) / 2% (others)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Rs 30,000 per contract / Rs 1L aggregate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30% (s.195) if NRI contractor — no specific lower section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BOTH</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s.194D</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Insurance commission</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5% (Ind/HUF)</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Rs 15,000 p.a.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20% (s.195) — NRI insurance agents are rare</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BOTH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s.194E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Payment to non-resident sportsmen or sports association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N/A (resident section)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20% (s.194E — specific NRI section). No DTAA override typically.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NRI ONLY</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s.194H</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Commission / brokerage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2%</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Rs 15,000 p.a.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30% (s.195) if NRI — no specific lower section</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BOTH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s.194I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Rent — land/building/furniture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Rs 2,40,000 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30% (s.195) — NRI landlord. No threshold. See Section 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BOTH — rate differs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s.194I(a)</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Rent — plant/machinery/equipment</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2%</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Rs 2,40,000 p.a.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30% (s.195) — NRI landlord</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BOTH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s.194IA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Immovable property purchase from RESIDENT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1% of consideration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Above Rs 50 lakh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NOT applicable — for resident sellers only. For NRI sellers: s.195 at 12.5% LTCG or slab STCG on gross proceeds.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DOMESTIC ONLY</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s.194IB</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Rent paid by individuals/HUF (not liable for 194I)</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2%</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Rs 50,000 per month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30% (s.195) if NRI landlord — no threshold. Different section applies.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BOTH — rate differs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s.194J</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Professional fees / technical fees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10% (professional) / 2% (technical)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Rs 30,000 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20% (s.115A) for royalties and FTS to NRI or 30% (s.195) for professional services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BOTH</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s.194LC</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Interest — foreign currency infrastructure loan / long-term bonds</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No threshold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5% — same concessional rate. DTAA cannot worsen this.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NRI primarily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s.194LD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Interest — govt securities / LTOB listed on exchange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No threshold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5% — same for NRI / FII / QFI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NRI primarily</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s.194S</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VDA / crypto transfer</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1%</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Rs 10,000 aggregate (others) / Rs 50,000 (Ind/HUF)</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1% — same rate for NRI. No DTAA override available.</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BOTH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s.195(a)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Any income in respect of investment by NRI (Chapter XII-A)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20% — s.195 / s.115E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NRI ONLY</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s.195(b)</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LTCG — s.115E (NRI investment income)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N/A</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12.5% — post Budget 2024 (reduced from 20%). Surcharge + cess apply.</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NRI 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s.195(c)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LTCG — listed equity / equity MF (STT paid, s.112A)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10% via ITR for residents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12.5% — post 23 July 2024. Surcharge capped at 15% on CG.</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NRI ONLY</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s.195(d)</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LTCG — immovable property (held above 24 months)</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N/A (resident: s.194IA 1%)</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12.5% — post Budget 2024. On GROSS proceeds (not gain). Buyer deducts.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NRI 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s.195(e)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STCG — listed equity (STT paid, s.111A)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15% via ITR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20% — post 23 July 2024. On gain amount.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NRI ONLY</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s.195(f)</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STCG — immovable property (held up to 24 months)</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N/A</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30% (slab rate for NRI) — on gross proceeds.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NRI 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s.195(g)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Interest (other than specified sections)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10% (s.194A)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30% (s.195) or DTAA rate. Most common: NRO FD interest.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NRI ONLY</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s.195(h)</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Royalties from Indian company / government</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20% (s.194J)</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20% (s.115A) or DTAA rate (typically 10%). Lower of both.</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NRI 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s.195(i)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Fees for Technical Services (FTS) from Indian company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2% (s.194J)</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20% (s.115A) or DTAA rate (typically 10%). Lower of both.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NRI ONLY</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s.195(j)</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Any other income (catch-all)</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10% (any other income)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30% + surcharge + cess. DTAA may reduce. No threshold.</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NRI 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s.206AA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No PAN furnished override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MAX(applicable rate, 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Applies to all sections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MAX(applicable rate, 20%) — same override applies to NRI. Effective rate = MAX(DTAA rate, 20%) if no PAN.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BOTH</w:t>
            </w:r>
          </w:p>
        </w:tc>
      </w:tr>
    </w:tbl>
    <w:p>
      <w:pPr>
        <w:spacing w:after="100"/>
      </w:pPr>
      <w:r>
        <w:t xml:space="preserve"/>
      </w:r>
    </w:p>
    <w:p>
      <w:pPr>
        <w:shd w:fill="FEF9E7" w:val="clear"/>
        <w:spacing w:after="0" w:before="80"/>
        <w:ind w:left="360" w:right="360"/>
      </w:pPr>
      <w:r>
        <w:rPr>
          <w:rFonts w:ascii="Arial" w:cs="Arial" w:eastAsia="Arial" w:hAnsi="Arial"/>
          <w:b/>
          <w:bCs/>
          <w:color w:val="7D6608"/>
          <w:sz w:val="18"/>
          <w:szCs w:val="18"/>
        </w:rPr>
        <w:t xml:space="preserve">⚠   Warning  </w:t>
      </w:r>
      <w:r>
        <w:rPr>
          <w:rFonts w:ascii="Arial" w:cs="Arial" w:eastAsia="Arial" w:hAnsi="Arial"/>
          <w:color w:val="7D6608"/>
          <w:sz w:val="18"/>
          <w:szCs w:val="18"/>
        </w:rPr>
        <w:t xml:space="preserve">Key changes from FY 2024-25 to FY 2025-26 affecting NRI rates:</w:t>
      </w:r>
    </w:p>
    <w:p>
      <w:pPr>
        <w:shd w:fill="FEF9E7" w:val="clear"/>
        <w:spacing w:after="0" w:before="0"/>
        <w:ind w:left="360" w:right="360"/>
      </w:pPr>
      <w:r>
        <w:rPr>
          <w:rFonts w:ascii="Arial" w:cs="Arial" w:eastAsia="Arial" w:hAnsi="Arial"/>
          <w:color w:val="7D6608"/>
          <w:sz w:val="18"/>
          <w:szCs w:val="18"/>
        </w:rPr>
        <w:t xml:space="preserve">       LTCG on listed equity and property: reduced from 20% to 12.5% effective 23 July 2024 (Finance Act 2024).</w:t>
      </w:r>
    </w:p>
    <w:p>
      <w:pPr>
        <w:shd w:fill="FEF9E7" w:val="clear"/>
        <w:spacing w:after="0" w:before="0"/>
        <w:ind w:left="360" w:right="360"/>
      </w:pPr>
      <w:r>
        <w:rPr>
          <w:rFonts w:ascii="Arial" w:cs="Arial" w:eastAsia="Arial" w:hAnsi="Arial"/>
          <w:color w:val="7D6608"/>
          <w:sz w:val="18"/>
          <w:szCs w:val="18"/>
        </w:rPr>
        <w:t xml:space="preserve">       STCG on listed equity (STT paid): increased from 15% to 20% effective 23 July 2024.</w:t>
      </w:r>
    </w:p>
    <w:p>
      <w:pPr>
        <w:shd w:fill="FEF9E7" w:val="clear"/>
        <w:spacing w:after="0" w:before="0"/>
        <w:ind w:left="360" w:right="360"/>
      </w:pPr>
      <w:r>
        <w:rPr>
          <w:rFonts w:ascii="Arial" w:cs="Arial" w:eastAsia="Arial" w:hAnsi="Arial"/>
          <w:color w:val="7D6608"/>
          <w:sz w:val="18"/>
          <w:szCs w:val="18"/>
        </w:rPr>
        <w:t xml:space="preserve">       s.194F (MF repurchase): discontinued from 1 October 2024 — no longer applicable.</w:t>
      </w:r>
    </w:p>
    <w:p>
      <w:pPr>
        <w:shd w:fill="FEF9E7" w:val="clear"/>
        <w:spacing w:after="0" w:before="0"/>
        <w:ind w:left="360" w:right="360"/>
      </w:pPr>
      <w:r>
        <w:rPr>
          <w:rFonts w:ascii="Arial" w:cs="Arial" w:eastAsia="Arial" w:hAnsi="Arial"/>
          <w:color w:val="7D6608"/>
          <w:sz w:val="18"/>
          <w:szCs w:val="18"/>
        </w:rPr>
        <w:t xml:space="preserve">       s.194IB rent: reduced from 5% to 2% effective from Finance Act 2024.</w:t>
      </w:r>
    </w:p>
    <w:p>
      <w:pPr>
        <w:shd w:fill="FEF9E7" w:val="clear"/>
        <w:spacing w:after="0" w:before="0"/>
        <w:ind w:left="360" w:right="360"/>
      </w:pPr>
      <w:r>
        <w:rPr>
          <w:rFonts w:ascii="Arial" w:cs="Arial" w:eastAsia="Arial" w:hAnsi="Arial"/>
          <w:color w:val="7D6608"/>
          <w:sz w:val="18"/>
          <w:szCs w:val="18"/>
        </w:rPr>
        <w:t xml:space="preserve">       s.194H commission/brokerage: reduced from 5% to 2% effective from Finance Act 2024.</w:t>
      </w:r>
    </w:p>
    <w:p>
      <w:pPr>
        <w:shd w:fill="FEF9E7" w:val="clear"/>
        <w:spacing w:after="80" w:before="0"/>
        <w:ind w:left="360" w:right="360"/>
      </w:pPr>
      <w:r>
        <w:rPr>
          <w:rFonts w:ascii="Arial" w:cs="Arial" w:eastAsia="Arial" w:hAnsi="Arial"/>
          <w:color w:val="7D6608"/>
          <w:sz w:val="18"/>
          <w:szCs w:val="18"/>
        </w:rPr>
        <w:t xml:space="preserve">       s.194T (partner salary/remuneration): new section effective 1 April 2025 at 10%.</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2: NRI TDS — Cross-Reference to NRI-TAX-002</w:t>
      </w:r>
    </w:p>
    <w:p>
      <w:pPr>
        <w:shd w:fill="F0EAF9" w:val="clear"/>
        <w:spacing w:after="80" w:before="80"/>
        <w:ind w:left="360" w:right="360"/>
      </w:pPr>
      <w:r>
        <w:rPr>
          <w:rFonts w:ascii="Arial" w:cs="Arial" w:eastAsia="Arial" w:hAnsi="Arial"/>
          <w:b/>
          <w:bCs/>
          <w:color w:val="5B0F8B"/>
          <w:sz w:val="18"/>
          <w:szCs w:val="18"/>
        </w:rPr>
        <w:t xml:space="preserve">▌   NRI ONLY  </w:t>
      </w:r>
      <w:r>
        <w:rPr>
          <w:rFonts w:ascii="Arial" w:cs="Arial" w:eastAsia="Arial" w:hAnsi="Arial"/>
          <w:color w:val="5B0F8B"/>
          <w:sz w:val="18"/>
          <w:szCs w:val="18"/>
        </w:rPr>
        <w:t xml:space="preserve">NRI ONLY — This document is the master TDS rate reference. For NRI recipients (residential_status == NR), do NOT compute TDS rates here. Call get_nri_tds_rate() from WISING-NRI-TAX-002 which contains the complete NRI TDS decision tree including DTAA override, s.197 certificate, s.206AA PAN override, and surcharge. This module only provides get_resident_tds_rate() which NRI-TAX-002 calls as a fallback for resident-rate reference.</w:t>
      </w:r>
    </w:p>
    <w:p>
      <w:pPr>
        <w:spacing w:after="100"/>
      </w:pPr>
      <w:r>
        <w:t xml:space="preserve"/>
      </w:r>
    </w:p>
    <w:p>
      <w:pPr>
        <w:spacing w:after="100"/>
        <w:jc w:val="both"/>
      </w:pPr>
      <w:r>
        <w:rPr>
          <w:rFonts w:ascii="Arial" w:cs="Arial" w:eastAsia="Arial" w:hAnsi="Arial"/>
          <w:sz w:val="20"/>
          <w:szCs w:val="20"/>
        </w:rPr>
        <w:t xml:space="preserve">IF recipient_status == NR: RETURN get_nri_tds_rate(income_type, inputs)  // See WISING-NRI-TAX-002 — do not duplicate here</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3: TDS on Rent — Key Distinction</w:t>
      </w:r>
    </w:p>
    <w:p>
      <w:pPr>
        <w:shd w:fill="E8F4F8" w:val="clear"/>
        <w:spacing w:after="80" w:before="80"/>
        <w:ind w:left="360" w:right="360"/>
      </w:pPr>
      <w:r>
        <w:rPr>
          <w:rFonts w:ascii="Arial" w:cs="Arial" w:eastAsia="Arial" w:hAnsi="Arial"/>
          <w:b/>
          <w:bCs/>
          <w:color w:val="154360"/>
          <w:sz w:val="18"/>
          <w:szCs w:val="18"/>
        </w:rPr>
        <w:t xml:space="preserve">▌   BOTH  </w:t>
      </w:r>
      <w:r>
        <w:rPr>
          <w:rFonts w:ascii="Arial" w:cs="Arial" w:eastAsia="Arial" w:hAnsi="Arial"/>
          <w:color w:val="154360"/>
          <w:sz w:val="18"/>
          <w:szCs w:val="18"/>
        </w:rPr>
        <w:t xml:space="preserve">BOTH — but the applicable section and rate depend on who the LANDLORD is. This is a common confusion point.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1600"/>
        <w:gridCol w:w="31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Scenario</w:t>
            </w:r>
          </w:p>
        </w:tc>
        <w:tc>
          <w:tcPr>
            <w:tcW w:type="dxa" w:w="1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Section</w:t>
            </w:r>
          </w:p>
        </w:tc>
        <w:tc>
          <w:tcPr>
            <w:tcW w:type="dxa" w:w="1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Rate</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Threshold</w:t>
            </w:r>
          </w:p>
        </w:tc>
        <w:tc>
          <w:tcPr>
            <w:tcW w:type="dxa" w:w="3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Individual/HUF pays rent to RESIDENT landlord (own residence)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s.194IB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Above Rs 50,000/month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DOMESTIC</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Company/firm pays rent to RESIDENT landlord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s.194I</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10% (building)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Rs 2.4L p.a.</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DOMESTIC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Any person pays rent to NRI landlord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s.195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30% or DTAA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No threshold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NRI ONLY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NRI pays rent (for India property while visiting)</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s.194IB or s.194I depending on payer type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Same as above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Same as above</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BOTH</w:t>
            </w:r>
          </w:p>
        </w:tc>
      </w:tr>
    </w:tbl>
    <w:p>
      <w:pPr>
        <w:spacing w:after="100"/>
      </w:pPr>
      <w:r>
        <w:t xml:space="preserve"/>
      </w:r>
    </w:p>
    <w:p>
      <w:pPr>
        <w:shd w:fill="FDEDEC" w:val="clear"/>
        <w:spacing w:after="80" w:before="80"/>
        <w:ind w:left="360" w:right="360"/>
      </w:pPr>
      <w:r>
        <w:rPr>
          <w:rFonts w:ascii="Arial" w:cs="Arial" w:eastAsia="Arial" w:hAnsi="Arial"/>
          <w:b/>
          <w:bCs/>
          <w:color w:val="B03A2E"/>
          <w:sz w:val="18"/>
          <w:szCs w:val="18"/>
        </w:rPr>
        <w:t xml:space="preserve">🚫  Critical  </w:t>
      </w:r>
      <w:r>
        <w:rPr>
          <w:rFonts w:ascii="Arial" w:cs="Arial" w:eastAsia="Arial" w:hAnsi="Arial"/>
          <w:color w:val="B03A2E"/>
          <w:sz w:val="18"/>
          <w:szCs w:val="18"/>
        </w:rPr>
        <w:t xml:space="preserve">NRI landlord TDS trap: most tenants of NRI landlords do not know they must deduct 30% TDS. If they do not, the tenant becomes liable for the shortfall plus interest and penalty. Wising should alert NRI users who have rental income and whose tenants may not be deducting correctly. Fire NRI_LANDLORD_TDS_ALERT when rental income detected and no TDS deduction shown in Form 26AS.</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4: Form 26AS vs AIS — Reconciliation</w:t>
      </w:r>
    </w:p>
    <w:p>
      <w:pPr>
        <w:shd w:fill="E8F4F8" w:val="clear"/>
        <w:spacing w:after="80" w:before="80"/>
        <w:ind w:left="360" w:right="360"/>
      </w:pPr>
      <w:r>
        <w:rPr>
          <w:rFonts w:ascii="Arial" w:cs="Arial" w:eastAsia="Arial" w:hAnsi="Arial"/>
          <w:b/>
          <w:bCs/>
          <w:color w:val="154360"/>
          <w:sz w:val="18"/>
          <w:szCs w:val="18"/>
        </w:rPr>
        <w:t xml:space="preserve">▌   BOTH  </w:t>
      </w:r>
      <w:r>
        <w:rPr>
          <w:rFonts w:ascii="Arial" w:cs="Arial" w:eastAsia="Arial" w:hAnsi="Arial"/>
          <w:color w:val="154360"/>
          <w:sz w:val="18"/>
          <w:szCs w:val="18"/>
        </w:rPr>
        <w:t xml:space="preserve">BOTH — every taxpayer needs to reconcile TDS credits before filing ITR.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Feature</w:t>
            </w:r>
          </w:p>
        </w:tc>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Form 26AS</w:t>
            </w:r>
          </w:p>
        </w:tc>
        <w:tc>
          <w:tcPr>
            <w:tcW w:type="dxa" w:w="2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AIS (Annual Information Statement)</w:t>
            </w:r>
          </w:p>
        </w:tc>
        <w:tc>
          <w:tcPr>
            <w:tcW w:type="dxa" w:w="25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Which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TDS credits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YES — deductor-wise TDS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YES — same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Both show TDS — cross-verify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SFT (financial transactions)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Limited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Comprehensive — all SFT submissions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AIS for completeness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Capital gains prefill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Not included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YES — CBDT-prefilled CG data from brokers/CAMS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AIS — but verify with Wising computation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Advance tax / SAT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YES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YES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Both — should match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Demand / refund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YES (basic)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YES (more detailed)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AIS preferred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Foreign remittances (15CA)</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NO</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YES — Form 15CA entries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AIS — critical for NRIs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API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Yes via IT portal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No API — upload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26AS: API. AIS: file upload.</w:t>
            </w:r>
          </w:p>
        </w:tc>
      </w:tr>
    </w:tbl>
    <w:p>
      <w:pPr>
        <w:spacing w:after="100"/>
      </w:pPr>
      <w:r>
        <w:t xml:space="preserve"/>
      </w:r>
    </w:p>
    <w:p>
      <w:pPr>
        <w:spacing w:after="100"/>
        <w:jc w:val="both"/>
      </w:pPr>
      <w:r>
        <w:rPr>
          <w:rFonts w:ascii="Arial" w:cs="Arial" w:eastAsia="Arial" w:hAnsi="Arial"/>
          <w:sz w:val="20"/>
          <w:szCs w:val="20"/>
        </w:rPr>
        <w:t xml:space="preserve">Reconciliation rule: TDS credit = MAX(26AS total, AIS total) per deductor. Taxpayer is entitled to the higher of the two. Engine must surface unclaimed TDS where AIS shows more than Wising has tracked.</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5: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1600"/>
        <w:gridCol w:w="2560"/>
      </w:tblGrid>
      <w:tr>
        <w:trPr>
          <w:tblHeader/>
        </w:trPr>
        <w:tc>
          <w:tcPr>
            <w:tcW w:type="dxa" w:w="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w:t>
            </w:r>
          </w:p>
        </w:tc>
        <w:tc>
          <w:tcPr>
            <w:tcW w:type="dxa" w:w="4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Item</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Owner</w:t>
            </w:r>
          </w:p>
        </w:tc>
        <w:tc>
          <w:tcPr>
            <w:tcW w:type="dxa" w:w="25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6"/>
                <w:szCs w:val="16"/>
              </w:rPr>
              <w:t xml:space="preserve">Blocking?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CA sign-off: full TDS rate table Section 1 — verify all resident and NRI rates current as of April 2026. NRI rates sourced from incometaxindia.gov.in AY 2026-27.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Sarthak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YES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2</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Build residential_status-aware TDS rate selector covering all sections above — resident path uses Section 1 resident column, NRI path calls NRI-TAX-002</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Ayush</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Form 26AS API integration (incometaxindia.gov.in) — token-based auth for auto-fetch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Ayush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2</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4</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NRI landlord alert: detect rental income without TDS deduction — fire NRI_LANDLORD_TDS_ALERT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Nihal</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Phase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26AS vs AIS reconciliation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Ayush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2</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6</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Surcharge on TDS: auto-compute correct surcharge based on payment amount and estimated total income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Ayush</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Implement s.194IB rate change (5% to 2%) and s.194H rate change (5% to 2%) effective Finance Act 2024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Ayush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YES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8</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Implement s.194T (partner salary) new section effective 1 April 2025 at 10%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Ayush</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6"/>
                <w:szCs w:val="16"/>
              </w:rPr>
              <w:t xml:space="preserve">YES</w:t>
            </w:r>
          </w:p>
        </w:tc>
      </w:tr>
    </w:tbl>
    <w:p>
      <w:pPr>
        <w:spacing w:after="100"/>
      </w:pPr>
      <w:r>
        <w:t xml:space="preserve"/>
      </w:r>
    </w:p>
    <w:p>
      <w:pPr>
        <w:spacing w:after="100"/>
        <w:jc w:val="both"/>
      </w:pPr>
      <w:r>
        <w:rPr>
          <w:rFonts w:ascii="Arial" w:cs="Arial" w:eastAsia="Arial" w:hAnsi="Arial"/>
          <w:i/>
          <w:iCs/>
          <w:color w:val="888888"/>
          <w:sz w:val="20"/>
          <w:szCs w:val="20"/>
        </w:rPr>
        <w:t xml:space="preserve">Version 2.0 | March 2026 | WISING-TAX-DOM-007 | NRI rate column added. Source: incometaxindia.gov.in AY 2026-27.</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right"/>
    </w:pPr>
    <w:r>
      <w:rPr>
        <w:rFonts w:ascii="Arial" w:cs="Arial" w:eastAsia="Arial" w:hAnsi="Arial"/>
        <w:color w:val="888888"/>
        <w:sz w:val="16"/>
        <w:szCs w:val="16"/>
      </w:rPr>
      <w:t xml:space="preserve">WISING-TAX-DOM-007 v2.0  |  TDS Comprehensive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60"/>
      <w:outlineLvl w:val="0"/>
    </w:pPr>
    <w:rPr>
      <w:rFonts w:ascii="Arial" w:cs="Arial" w:eastAsia="Arial" w:hAnsi="Arial"/>
      <w:b/>
      <w:bCs/>
      <w:sz w:val="32"/>
      <w:szCs w:val="32"/>
    </w:rPr>
  </w:style>
  <w:style w:type="paragraph" w:styleId="Heading2">
    <w:name w:val="Heading 2"/>
    <w:basedOn w:val="Normal"/>
    <w:next w:val="Normal"/>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2026-03-26T09:41:30.659Z</dcterms:created>
  <dcterms:modified xsi:type="dcterms:W3CDTF">2026-03-26T09:41:30.661Z</dcterms:modified>
</cp:coreProperties>
</file>

<file path=docProps/custom.xml><?xml version="1.0" encoding="utf-8"?>
<Properties xmlns="http://schemas.openxmlformats.org/officeDocument/2006/custom-properties" xmlns:vt="http://schemas.openxmlformats.org/officeDocument/2006/docPropsVTypes"/>
</file>