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2E4057"/>
          <w:sz w:val="28"/>
          <w:szCs w:val="28"/>
        </w:rPr>
        <w:t xml:space="preserve">WISING INTELLIGENCE</w:t>
      </w:r>
    </w:p>
    <w:p>
      <w:pPr>
        <w:spacing w:after="80"/>
      </w:pPr>
      <w:r>
        <w:rPr>
          <w:rFonts w:ascii="Arial" w:cs="Arial" w:eastAsia="Arial" w:hAnsi="Arial"/>
          <w:color w:val="555555"/>
          <w:sz w:val="24"/>
          <w:szCs w:val="24"/>
        </w:rPr>
        <w:t xml:space="preserve">NRI Tax Engine Specification — Module 3</w:t>
      </w:r>
    </w:p>
    <w:p>
      <w:pPr>
        <w:spacing w:after="480"/>
      </w:pPr>
      <w:r>
        <w:rPr>
          <w:rFonts w:ascii="Arial" w:cs="Arial" w:eastAsia="Arial" w:hAnsi="Arial"/>
          <w:b/>
          <w:bCs/>
          <w:color w:val="2E4057"/>
          <w:sz w:val="40"/>
          <w:szCs w:val="40"/>
        </w:rPr>
        <w:t xml:space="preserve">NRE / NRO / FCNR(B) / RFC Account Tax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WISING-NRI-TAX-003</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Version</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Sarthak — CA, CEO</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Consumer</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Devanshu — CTO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 SIGNED — READY FOR BUILD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Date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March 2026</w:t>
            </w:r>
          </w:p>
        </w:tc>
      </w:tr>
    </w:tbl>
    <w:p>
      <w:pPr>
        <w:spacing w:before="80" w:after="80"/>
        <w:ind w:left="200" w:right="200"/>
        <w:shd w:val="clear" w:fill="F5F1FE"/>
      </w:pPr>
      <w:r>
        <w:rPr>
          <w:rFonts w:ascii="Arial" w:hAnsi="Arial"/>
          <w:b/>
          <w:color w:val="5B35A0"/>
          <w:sz w:val="18"/>
        </w:rPr>
        <w:t xml:space="preserve">Build Step 17 | NRI INCOME  </w:t>
      </w:r>
      <w:r>
        <w:rPr>
          <w:rFonts w:ascii="Arial" w:hAnsi="Arial"/>
          <w:color w:val="5B35A0"/>
          <w:sz w:val="18"/>
        </w:rPr>
        <w:t xml:space="preserve">Read first: Residential Status + NRI-02 TDS Rates  ||  This unlocks: NRE/NRO/FCNR interest exemption and conversion rules</w:t>
      </w:r>
    </w:p>
    <w:p>
      <w:pPr>
        <w:spacing w:after="120"/>
      </w:pPr>
      <w:r>
        <w:t xml:space="preserve"/>
      </w:r>
    </w:p>
    <w:p>
      <w:pPr>
        <w:pStyle w:val="Heading1"/>
        <w:spacing w:before="320" w:after="160"/>
      </w:pPr>
      <w:r>
        <w:rPr>
          <w:rFonts w:ascii="Arial" w:cs="Arial" w:eastAsia="Arial" w:hAnsi="Arial"/>
          <w:b/>
          <w:bCs/>
          <w:color w:val="2E4057"/>
          <w:sz w:val="32"/>
          <w:szCs w:val="32"/>
        </w:rPr>
        <w:t xml:space="preserve">Section 0: Purpose</w:t>
      </w:r>
    </w:p>
    <w:p>
      <w:pPr>
        <w:spacing w:after="120"/>
      </w:pPr>
      <w:r>
        <w:rPr>
          <w:rFonts w:ascii="Arial" w:cs="Arial" w:eastAsia="Arial" w:hAnsi="Arial"/>
          <w:sz w:val="20"/>
          <w:szCs w:val="20"/>
        </w:rPr>
        <w:t xml:space="preserve">This module specifies the income tax treatment of interest income from NRE, NRO, FCNR(B), and RFC bank accounts based on the account holder's residential status. Account type and residential status together determine taxability. The existing Residential Status Spec (Section 7) contains the scope table — this module implements the computation logic.</w:t>
      </w:r>
    </w:p>
    <w:p>
      <w:pPr>
        <w:spacing w:after="120"/>
      </w:pPr>
      <w:r>
        <w:t xml:space="preserve"/>
      </w:r>
    </w:p>
    <w:p>
      <w:pPr>
        <w:pStyle w:val="Heading1"/>
        <w:spacing w:before="320" w:after="160"/>
      </w:pPr>
      <w:r>
        <w:rPr>
          <w:rFonts w:ascii="Arial" w:cs="Arial" w:eastAsia="Arial" w:hAnsi="Arial"/>
          <w:b/>
          <w:bCs/>
          <w:color w:val="2E4057"/>
          <w:sz w:val="32"/>
          <w:szCs w:val="32"/>
        </w:rPr>
        <w:t xml:space="preserve">Section 1: Account Type Tax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400"/>
        <w:gridCol w:w="2000"/>
        <w:gridCol w:w="15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Account Type</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Status: NR</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Status: RNOR</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Status: ROR</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Exemption Section</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TDS Rate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NRE Savings / FD Interest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EXEMPT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EXEMPT (held as RFC or NRE)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TAXABLE (on conversion)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s.10(4)(ii) ITA 2025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Nil for NR/RNOR; 10% for ROR</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NRO Savings Interest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TAXABLE at slab</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TAXABLE at slab</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TAXABLE at slab</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No exemption</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30% TDS for NR; 10% for ROR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NRO FD Interest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TAXABLE at slab (30% TDS)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TAXABLE at slab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TAXABLE at slab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exemption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 TDS for NR</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FCNR(B) FD Interest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EXEMPT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EXEMPT (during RNOR period)</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TAXABLE (post-conversion)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s.10(15)(iv)(fa) ITA 2025</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Nil for NR/RNOR; 10% after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RFC Account Interest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 (not available for NR)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EXEMPT during RNOR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TAXABLE (when 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s.10(15)(iv)(fa)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Nil during RNOR; 10% for ROR</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GIFT City IFSC Account Interest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EXEMPT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EXEMPT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Check IFSC rules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IFSC regulations</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Nil</w:t>
            </w:r>
          </w:p>
        </w:tc>
      </w:tr>
    </w:tbl>
    <w:p>
      <w:pPr>
        <w:spacing w:after="120"/>
      </w:pPr>
      <w:r>
        <w:t xml:space="preserve"/>
      </w:r>
    </w:p>
    <w:p>
      <w:pPr>
        <w:pStyle w:val="Heading1"/>
        <w:spacing w:before="320" w:after="160"/>
      </w:pPr>
      <w:r>
        <w:rPr>
          <w:rFonts w:ascii="Arial" w:cs="Arial" w:eastAsia="Arial" w:hAnsi="Arial"/>
          <w:b/>
          <w:bCs/>
          <w:color w:val="2E4057"/>
          <w:sz w:val="32"/>
          <w:szCs w:val="32"/>
        </w:rPr>
        <w:t xml:space="preserve">Section 2: Interest Income Computation Logic</w:t>
      </w:r>
    </w:p>
    <w:p>
      <w:pPr>
        <w:spacing w:before="60" w:after="60"/>
        <w:ind w:left="360"/>
      </w:pPr>
      <w:r>
        <w:rPr>
          <w:rFonts w:ascii="Courier New" w:cs="Courier New" w:eastAsia="Courier New" w:hAnsi="Courier New"/>
          <w:color w:val="1a1a2e"/>
          <w:sz w:val="18"/>
          <w:szCs w:val="18"/>
        </w:rPr>
        <w:t xml:space="preserve">FUNCTION compute_bank_interest_tax(account_type, interest_amount, residential_status, inputs):</w:t>
      </w:r>
    </w:p>
    <w:p>
      <w:pPr>
        <w:spacing w:before="60" w:after="60"/>
        <w:ind w:left="360"/>
      </w:pPr>
      <w:r>
        <w:rPr>
          <w:rFonts w:ascii="Courier New" w:cs="Courier New" w:eastAsia="Courier New" w:hAnsi="Courier New"/>
          <w:color w:val="1a1a2e"/>
          <w:sz w:val="18"/>
          <w:szCs w:val="18"/>
        </w:rPr>
        <w:t xml:space="preserve"/>
      </w:r>
    </w:p>
    <w:p>
      <w:pPr>
        <w:spacing w:before="60" w:after="60"/>
        <w:ind w:left="360"/>
      </w:pPr>
      <w:r>
        <w:rPr>
          <w:rFonts w:ascii="Courier New" w:cs="Courier New" w:eastAsia="Courier New" w:hAnsi="Courier New"/>
          <w:color w:val="1a1a2e"/>
          <w:sz w:val="18"/>
          <w:szCs w:val="18"/>
        </w:rPr>
        <w:t xml:space="preserve">  // NRE Account</w:t>
      </w:r>
    </w:p>
    <w:p>
      <w:pPr>
        <w:spacing w:before="60" w:after="60"/>
        <w:ind w:left="360"/>
      </w:pPr>
      <w:r>
        <w:rPr>
          <w:rFonts w:ascii="Courier New" w:cs="Courier New" w:eastAsia="Courier New" w:hAnsi="Courier New"/>
          <w:color w:val="1a1a2e"/>
          <w:sz w:val="18"/>
          <w:szCs w:val="18"/>
        </w:rPr>
        <w:t xml:space="preserve">  IF account_type == 'NRE':</w:t>
      </w:r>
    </w:p>
    <w:p>
      <w:pPr>
        <w:spacing w:before="60" w:after="60"/>
        <w:ind w:left="360"/>
      </w:pPr>
      <w:r>
        <w:rPr>
          <w:rFonts w:ascii="Courier New" w:cs="Courier New" w:eastAsia="Courier New" w:hAnsi="Courier New"/>
          <w:color w:val="1a1a2e"/>
          <w:sz w:val="18"/>
          <w:szCs w:val="18"/>
        </w:rPr>
        <w:t xml:space="preserve">    IF residential_status IN ['NR', 'RNOR']:</w:t>
      </w:r>
    </w:p>
    <w:p>
      <w:pPr>
        <w:spacing w:before="60" w:after="60"/>
        <w:ind w:left="360"/>
      </w:pPr>
      <w:r>
        <w:rPr>
          <w:rFonts w:ascii="Courier New" w:cs="Courier New" w:eastAsia="Courier New" w:hAnsi="Courier New"/>
          <w:color w:val="1a1a2e"/>
          <w:sz w:val="18"/>
          <w:szCs w:val="18"/>
        </w:rPr>
        <w:t xml:space="preserve">      RETURN { taxable: 0, exemption_section: 's.10(4)(ii)', tds: 0 }</w:t>
      </w:r>
    </w:p>
    <w:p>
      <w:pPr>
        <w:spacing w:before="60" w:after="60"/>
        <w:ind w:left="360"/>
      </w:pPr>
      <w:r>
        <w:rPr>
          <w:rFonts w:ascii="Courier New" w:cs="Courier New" w:eastAsia="Courier New" w:hAnsi="Courier New"/>
          <w:color w:val="1a1a2e"/>
          <w:sz w:val="18"/>
          <w:szCs w:val="18"/>
        </w:rPr>
        <w:t xml:space="preserve">    ELSE:  // ROR — NRE was converted or status changed</w:t>
      </w:r>
    </w:p>
    <w:p>
      <w:pPr>
        <w:spacing w:before="60" w:after="60"/>
        <w:ind w:left="360"/>
      </w:pPr>
      <w:r>
        <w:rPr>
          <w:rFonts w:ascii="Courier New" w:cs="Courier New" w:eastAsia="Courier New" w:hAnsi="Courier New"/>
          <w:color w:val="1a1a2e"/>
          <w:sz w:val="18"/>
          <w:szCs w:val="18"/>
        </w:rPr>
        <w:t xml:space="preserve">      // Interest AFTER conversion date is taxable</w:t>
      </w:r>
    </w:p>
    <w:p>
      <w:pPr>
        <w:spacing w:before="60" w:after="60"/>
        <w:ind w:left="360"/>
      </w:pPr>
      <w:r>
        <w:rPr>
          <w:rFonts w:ascii="Courier New" w:cs="Courier New" w:eastAsia="Courier New" w:hAnsi="Courier New"/>
          <w:color w:val="1a1a2e"/>
          <w:sz w:val="18"/>
          <w:szCs w:val="18"/>
        </w:rPr>
        <w:t xml:space="preserve">      taxable = interest_accrued_after_conversion_date</w:t>
      </w:r>
    </w:p>
    <w:p>
      <w:pPr>
        <w:spacing w:before="60" w:after="60"/>
        <w:ind w:left="360"/>
      </w:pPr>
      <w:r>
        <w:rPr>
          <w:rFonts w:ascii="Courier New" w:cs="Courier New" w:eastAsia="Courier New" w:hAnsi="Courier New"/>
          <w:color w:val="1a1a2e"/>
          <w:sz w:val="18"/>
          <w:szCs w:val="18"/>
        </w:rPr>
        <w:t xml:space="preserve">      RETURN { taxable, tds: taxable * 0.10 }</w:t>
      </w:r>
    </w:p>
    <w:p>
      <w:pPr>
        <w:spacing w:before="60" w:after="60"/>
        <w:ind w:left="360"/>
      </w:pPr>
      <w:r>
        <w:rPr>
          <w:rFonts w:ascii="Courier New" w:cs="Courier New" w:eastAsia="Courier New" w:hAnsi="Courier New"/>
          <w:color w:val="1a1a2e"/>
          <w:sz w:val="18"/>
          <w:szCs w:val="18"/>
        </w:rPr>
        <w:t xml:space="preserve"/>
      </w:r>
    </w:p>
    <w:p>
      <w:pPr>
        <w:spacing w:before="60" w:after="60"/>
        <w:ind w:left="360"/>
      </w:pPr>
      <w:r>
        <w:rPr>
          <w:rFonts w:ascii="Courier New" w:cs="Courier New" w:eastAsia="Courier New" w:hAnsi="Courier New"/>
          <w:color w:val="1a1a2e"/>
          <w:sz w:val="18"/>
          <w:szCs w:val="18"/>
        </w:rPr>
        <w:t xml:space="preserve">  // NRO Account</w:t>
      </w:r>
    </w:p>
    <w:p>
      <w:pPr>
        <w:spacing w:before="60" w:after="60"/>
        <w:ind w:left="360"/>
      </w:pPr>
      <w:r>
        <w:rPr>
          <w:rFonts w:ascii="Courier New" w:cs="Courier New" w:eastAsia="Courier New" w:hAnsi="Courier New"/>
          <w:color w:val="1a1a2e"/>
          <w:sz w:val="18"/>
          <w:szCs w:val="18"/>
        </w:rPr>
        <w:t xml:space="preserve">  IF account_type == 'NRO':</w:t>
      </w:r>
    </w:p>
    <w:p>
      <w:pPr>
        <w:spacing w:before="60" w:after="60"/>
        <w:ind w:left="360"/>
      </w:pPr>
      <w:r>
        <w:rPr>
          <w:rFonts w:ascii="Courier New" w:cs="Courier New" w:eastAsia="Courier New" w:hAnsi="Courier New"/>
          <w:color w:val="1a1a2e"/>
          <w:sz w:val="18"/>
          <w:szCs w:val="18"/>
        </w:rPr>
        <w:t xml:space="preserve">    IF residential_status == 'NR':</w:t>
      </w:r>
    </w:p>
    <w:p>
      <w:pPr>
        <w:spacing w:before="60" w:after="60"/>
        <w:ind w:left="360"/>
      </w:pPr>
      <w:r>
        <w:rPr>
          <w:rFonts w:ascii="Courier New" w:cs="Courier New" w:eastAsia="Courier New" w:hAnsi="Courier New"/>
          <w:color w:val="1a1a2e"/>
          <w:sz w:val="18"/>
          <w:szCs w:val="18"/>
        </w:rPr>
        <w:t xml:space="preserve">      // 30% TDS; DTAA may reduce</w:t>
      </w:r>
    </w:p>
    <w:p>
      <w:pPr>
        <w:spacing w:before="60" w:after="60"/>
        <w:ind w:left="360"/>
      </w:pPr>
      <w:r>
        <w:rPr>
          <w:rFonts w:ascii="Courier New" w:cs="Courier New" w:eastAsia="Courier New" w:hAnsi="Courier New"/>
          <w:color w:val="1a1a2e"/>
          <w:sz w:val="18"/>
          <w:szCs w:val="18"/>
        </w:rPr>
        <w:t xml:space="preserve">      tds_rate = get_nri_tds_rate('NRO_INTEREST', inputs)  // from Module 2</w:t>
      </w:r>
    </w:p>
    <w:p>
      <w:pPr>
        <w:spacing w:before="60" w:after="60"/>
        <w:ind w:left="360"/>
      </w:pPr>
      <w:r>
        <w:rPr>
          <w:rFonts w:ascii="Courier New" w:cs="Courier New" w:eastAsia="Courier New" w:hAnsi="Courier New"/>
          <w:color w:val="1a1a2e"/>
          <w:sz w:val="18"/>
          <w:szCs w:val="18"/>
        </w:rPr>
        <w:t xml:space="preserve">      taxable = interest_amount  // gross — no deductions</w:t>
      </w:r>
    </w:p>
    <w:p>
      <w:pPr>
        <w:spacing w:before="60" w:after="60"/>
        <w:ind w:left="360"/>
      </w:pPr>
      <w:r>
        <w:rPr>
          <w:rFonts w:ascii="Courier New" w:cs="Courier New" w:eastAsia="Courier New" w:hAnsi="Courier New"/>
          <w:color w:val="1a1a2e"/>
          <w:sz w:val="18"/>
          <w:szCs w:val="18"/>
        </w:rPr>
        <w:t xml:space="preserve">      RETURN { taxable, tds: taxable * tds_rate }</w:t>
      </w:r>
    </w:p>
    <w:p>
      <w:pPr>
        <w:spacing w:before="60" w:after="60"/>
        <w:ind w:left="360"/>
      </w:pPr>
      <w:r>
        <w:rPr>
          <w:rFonts w:ascii="Courier New" w:cs="Courier New" w:eastAsia="Courier New" w:hAnsi="Courier New"/>
          <w:color w:val="1a1a2e"/>
          <w:sz w:val="18"/>
          <w:szCs w:val="18"/>
        </w:rPr>
        <w:t xml:space="preserve">    ELSE:  // RNOR or ROR — same as resident treatment</w:t>
      </w:r>
    </w:p>
    <w:p>
      <w:pPr>
        <w:spacing w:before="60" w:after="60"/>
        <w:ind w:left="360"/>
      </w:pPr>
      <w:r>
        <w:rPr>
          <w:rFonts w:ascii="Courier New" w:cs="Courier New" w:eastAsia="Courier New" w:hAnsi="Courier New"/>
          <w:color w:val="1a1a2e"/>
          <w:sz w:val="18"/>
          <w:szCs w:val="18"/>
        </w:rPr>
        <w:t xml:space="preserve">      RETURN { taxable: interest_amount, tds: interest_amount * 0.10 }</w:t>
      </w:r>
    </w:p>
    <w:p>
      <w:pPr>
        <w:spacing w:before="60" w:after="60"/>
        <w:ind w:left="360"/>
      </w:pPr>
      <w:r>
        <w:rPr>
          <w:rFonts w:ascii="Courier New" w:cs="Courier New" w:eastAsia="Courier New" w:hAnsi="Courier New"/>
          <w:color w:val="1a1a2e"/>
          <w:sz w:val="18"/>
          <w:szCs w:val="18"/>
        </w:rPr>
        <w:t xml:space="preserve"/>
      </w:r>
    </w:p>
    <w:p>
      <w:pPr>
        <w:spacing w:before="60" w:after="60"/>
        <w:ind w:left="360"/>
      </w:pPr>
      <w:r>
        <w:rPr>
          <w:rFonts w:ascii="Courier New" w:cs="Courier New" w:eastAsia="Courier New" w:hAnsi="Courier New"/>
          <w:color w:val="1a1a2e"/>
          <w:sz w:val="18"/>
          <w:szCs w:val="18"/>
        </w:rPr>
        <w:t xml:space="preserve">  // FCNR(B) Deposit</w:t>
      </w:r>
    </w:p>
    <w:p>
      <w:pPr>
        <w:spacing w:before="60" w:after="60"/>
        <w:ind w:left="360"/>
      </w:pPr>
      <w:r>
        <w:rPr>
          <w:rFonts w:ascii="Courier New" w:cs="Courier New" w:eastAsia="Courier New" w:hAnsi="Courier New"/>
          <w:color w:val="1a1a2e"/>
          <w:sz w:val="18"/>
          <w:szCs w:val="18"/>
        </w:rPr>
        <w:t xml:space="preserve">  IF account_type == 'FCNR':</w:t>
      </w:r>
    </w:p>
    <w:p>
      <w:pPr>
        <w:spacing w:before="60" w:after="60"/>
        <w:ind w:left="360"/>
      </w:pPr>
      <w:r>
        <w:rPr>
          <w:rFonts w:ascii="Courier New" w:cs="Courier New" w:eastAsia="Courier New" w:hAnsi="Courier New"/>
          <w:color w:val="1a1a2e"/>
          <w:sz w:val="18"/>
          <w:szCs w:val="18"/>
        </w:rPr>
        <w:t xml:space="preserve">    IF residential_status IN ['NR', 'RNOR']:</w:t>
      </w:r>
    </w:p>
    <w:p>
      <w:pPr>
        <w:spacing w:before="60" w:after="60"/>
        <w:ind w:left="360"/>
      </w:pPr>
      <w:r>
        <w:rPr>
          <w:rFonts w:ascii="Courier New" w:cs="Courier New" w:eastAsia="Courier New" w:hAnsi="Courier New"/>
          <w:color w:val="1a1a2e"/>
          <w:sz w:val="18"/>
          <w:szCs w:val="18"/>
        </w:rPr>
        <w:t xml:space="preserve">      RETURN { taxable: 0, exemption_section: 's.10(15)(iv)(fa)', tds: 0 }</w:t>
      </w:r>
    </w:p>
    <w:p>
      <w:pPr>
        <w:spacing w:before="60" w:after="60"/>
        <w:ind w:left="360"/>
      </w:pPr>
      <w:r>
        <w:rPr>
          <w:rFonts w:ascii="Courier New" w:cs="Courier New" w:eastAsia="Courier New" w:hAnsi="Courier New"/>
          <w:color w:val="1a1a2e"/>
          <w:sz w:val="18"/>
          <w:szCs w:val="18"/>
        </w:rPr>
        <w:t xml:space="preserve">    ELSE:  // ROR — interest after maturity / conversion taxable</w:t>
      </w:r>
    </w:p>
    <w:p>
      <w:pPr>
        <w:spacing w:before="60" w:after="60"/>
        <w:ind w:left="360"/>
      </w:pPr>
      <w:r>
        <w:rPr>
          <w:rFonts w:ascii="Courier New" w:cs="Courier New" w:eastAsia="Courier New" w:hAnsi="Courier New"/>
          <w:color w:val="1a1a2e"/>
          <w:sz w:val="18"/>
          <w:szCs w:val="18"/>
        </w:rPr>
        <w:t xml:space="preserve">      taxable = interest_amount  // from ROR conversion date</w:t>
      </w:r>
    </w:p>
    <w:p>
      <w:pPr>
        <w:spacing w:before="60" w:after="60"/>
        <w:ind w:left="360"/>
      </w:pPr>
      <w:r>
        <w:rPr>
          <w:rFonts w:ascii="Courier New" w:cs="Courier New" w:eastAsia="Courier New" w:hAnsi="Courier New"/>
          <w:color w:val="1a1a2e"/>
          <w:sz w:val="18"/>
          <w:szCs w:val="18"/>
        </w:rPr>
        <w:t xml:space="preserve">      RETURN { taxable, tds: taxable * 0.10 }</w:t>
      </w:r>
    </w:p>
    <w:p>
      <w:pPr>
        <w:spacing w:before="60" w:after="60"/>
        <w:ind w:left="360"/>
      </w:pPr>
      <w:r>
        <w:rPr>
          <w:rFonts w:ascii="Courier New" w:cs="Courier New" w:eastAsia="Courier New" w:hAnsi="Courier New"/>
          <w:color w:val="1a1a2e"/>
          <w:sz w:val="18"/>
          <w:szCs w:val="18"/>
        </w:rPr>
        <w:t xml:space="preserve"/>
      </w:r>
    </w:p>
    <w:p>
      <w:pPr>
        <w:spacing w:before="60" w:after="60"/>
        <w:ind w:left="360"/>
      </w:pPr>
      <w:r>
        <w:rPr>
          <w:rFonts w:ascii="Courier New" w:cs="Courier New" w:eastAsia="Courier New" w:hAnsi="Courier New"/>
          <w:color w:val="1a1a2e"/>
          <w:sz w:val="18"/>
          <w:szCs w:val="18"/>
        </w:rPr>
        <w:t xml:space="preserve">  // RFC Account</w:t>
      </w:r>
    </w:p>
    <w:p>
      <w:pPr>
        <w:spacing w:before="60" w:after="60"/>
        <w:ind w:left="360"/>
      </w:pPr>
      <w:r>
        <w:rPr>
          <w:rFonts w:ascii="Courier New" w:cs="Courier New" w:eastAsia="Courier New" w:hAnsi="Courier New"/>
          <w:color w:val="1a1a2e"/>
          <w:sz w:val="18"/>
          <w:szCs w:val="18"/>
        </w:rPr>
        <w:t xml:space="preserve">  IF account_type == 'RFC':</w:t>
      </w:r>
    </w:p>
    <w:p>
      <w:pPr>
        <w:spacing w:before="60" w:after="60"/>
        <w:ind w:left="360"/>
      </w:pPr>
      <w:r>
        <w:rPr>
          <w:rFonts w:ascii="Courier New" w:cs="Courier New" w:eastAsia="Courier New" w:hAnsi="Courier New"/>
          <w:color w:val="1a1a2e"/>
          <w:sz w:val="18"/>
          <w:szCs w:val="18"/>
        </w:rPr>
        <w:t xml:space="preserve">    IF residential_status == 'RNOR':</w:t>
      </w:r>
    </w:p>
    <w:p>
      <w:pPr>
        <w:spacing w:before="60" w:after="60"/>
        <w:ind w:left="360"/>
      </w:pPr>
      <w:r>
        <w:rPr>
          <w:rFonts w:ascii="Courier New" w:cs="Courier New" w:eastAsia="Courier New" w:hAnsi="Courier New"/>
          <w:color w:val="1a1a2e"/>
          <w:sz w:val="18"/>
          <w:szCs w:val="18"/>
        </w:rPr>
        <w:t xml:space="preserve">      RETURN { taxable: 0, exemption_section: 's.10(15)(iv)(fa)', tds: 0 }</w:t>
      </w:r>
    </w:p>
    <w:p>
      <w:pPr>
        <w:spacing w:before="60" w:after="60"/>
        <w:ind w:left="360"/>
      </w:pPr>
      <w:r>
        <w:rPr>
          <w:rFonts w:ascii="Courier New" w:cs="Courier New" w:eastAsia="Courier New" w:hAnsi="Courier New"/>
          <w:color w:val="1a1a2e"/>
          <w:sz w:val="18"/>
          <w:szCs w:val="18"/>
        </w:rPr>
        <w:t xml:space="preserve">    IF residential_status == 'ROR':</w:t>
      </w:r>
    </w:p>
    <w:p>
      <w:pPr>
        <w:spacing w:before="60" w:after="60"/>
        <w:ind w:left="360"/>
      </w:pPr>
      <w:r>
        <w:rPr>
          <w:rFonts w:ascii="Courier New" w:cs="Courier New" w:eastAsia="Courier New" w:hAnsi="Courier New"/>
          <w:color w:val="1a1a2e"/>
          <w:sz w:val="18"/>
          <w:szCs w:val="18"/>
        </w:rPr>
        <w:t xml:space="preserve">      RETURN { taxable: interest_amount, tds: interest_amount * 0.10 }</w:t>
      </w:r>
    </w:p>
    <w:p>
      <w:pPr>
        <w:spacing w:after="120"/>
      </w:pPr>
      <w:r>
        <w:t xml:space="preserve"/>
      </w:r>
    </w:p>
    <w:p>
      <w:pPr>
        <w:pStyle w:val="Heading1"/>
        <w:spacing w:before="320" w:after="160"/>
      </w:pPr>
      <w:r>
        <w:rPr>
          <w:rFonts w:ascii="Arial" w:cs="Arial" w:eastAsia="Arial" w:hAnsi="Arial"/>
          <w:b/>
          <w:bCs/>
          <w:color w:val="2E4057"/>
          <w:sz w:val="32"/>
          <w:szCs w:val="32"/>
        </w:rPr>
        <w:t xml:space="preserve">Section 3: Account Conversion Rules (Status Change)</w:t>
      </w:r>
    </w:p>
    <w:p>
      <w:pPr>
        <w:spacing w:after="120"/>
      </w:pPr>
      <w:r>
        <w:rPr>
          <w:rFonts w:ascii="Arial" w:cs="Arial" w:eastAsia="Arial" w:hAnsi="Arial"/>
          <w:sz w:val="20"/>
          <w:szCs w:val="20"/>
        </w:rPr>
        <w:t xml:space="preserve">When residential status changes from NR to RNOR or ROR, FEMA requires conversion of NRE accounts. The timing of conversion determines when interest becomes taxable.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FEMA Requirement</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Income Tax Consequence</w:t>
            </w:r>
          </w:p>
        </w:tc>
        <w:tc>
          <w:tcPr>
            <w:tcW w:type="dxa" w:w="2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Wising 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NR → RNOR (returning NRI)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Convert NRE to RFC account; may continue FCNR to maturity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RFC interest: exempt during RNOR. FCNR held to maturity: exempt.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Alert user to convert NRE → RFC. Track conversion date.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RNOR → ROR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RFC continues; no further conversion needed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RFC interest becomes TAXABLE from start of first ROR year</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Alert: RFC interest now taxable. Add to income computation.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NR → ROR (rare — skip RNOR)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Immediate conversion of NRE required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NRE interest after conversion: taxable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Same as above but immediate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FCNR maturity during RNOR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Proceeds repatriable freely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Interest exempt until maturity. Post-maturity if kept in India: NRO treatment</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Track FCNR maturity dates. Alert user to plan repatriation.</w:t>
            </w:r>
          </w:p>
        </w:tc>
      </w:tr>
    </w:tbl>
    <w:p>
      <w:pPr>
        <w:shd w:fill="FFE8E8" w:val="clear"/>
        <w:spacing w:before="120" w:after="120"/>
        <w:ind w:left="360" w:right="360"/>
      </w:pPr>
      <w:r>
        <w:rPr>
          <w:rFonts w:ascii="Arial" w:cs="Arial" w:eastAsia="Arial" w:hAnsi="Arial"/>
          <w:b/>
          <w:bCs/>
          <w:color w:val="8B0000"/>
          <w:sz w:val="20"/>
          <w:szCs w:val="20"/>
        </w:rPr>
        <w:t xml:space="preserve">🚫 Critical  </w:t>
      </w:r>
      <w:r>
        <w:rPr>
          <w:rFonts w:ascii="Arial" w:cs="Arial" w:eastAsia="Arial" w:hAnsi="Arial"/>
          <w:color w:val="8B0000"/>
          <w:sz w:val="20"/>
          <w:szCs w:val="20"/>
        </w:rPr>
        <w:t xml:space="preserve">NRE account interest is exempt ONLY while the status is NR or RNOR. The moment the user becomes ROR — even one day into the Tax Year — the FULL year's NRE interest may be taxable (since status is not split mid-year). This is a significant tax event for returning NRIs. Surface this alert prominently.</w:t>
      </w:r>
    </w:p>
    <w:p>
      <w:pPr>
        <w:spacing w:after="120"/>
      </w:pPr>
      <w:r>
        <w:t xml:space="preserve"/>
      </w:r>
    </w:p>
    <w:p>
      <w:pPr>
        <w:pStyle w:val="Heading1"/>
        <w:spacing w:before="320" w:after="160"/>
      </w:pPr>
      <w:r>
        <w:rPr>
          <w:rFonts w:ascii="Arial" w:cs="Arial" w:eastAsia="Arial" w:hAnsi="Arial"/>
          <w:b/>
          <w:bCs/>
          <w:color w:val="2E4057"/>
          <w:sz w:val="32"/>
          <w:szCs w:val="32"/>
        </w:rPr>
        <w:t xml:space="preserve">Section 4: NRO Repatriation Limit</w:t>
      </w:r>
    </w:p>
    <w:p>
      <w:pPr>
        <w:spacing w:after="120"/>
      </w:pPr>
      <w:r>
        <w:rPr>
          <w:rFonts w:ascii="Arial" w:cs="Arial" w:eastAsia="Arial" w:hAnsi="Arial"/>
          <w:sz w:val="20"/>
          <w:szCs w:val="20"/>
        </w:rPr>
        <w:t xml:space="preserve">Under RBI Master Direction on NRI Deposits, NRO account balances may be repatriated abroad subject to a limit. This is a FEMA provision but directly affects NRI financial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Annual repatriation limit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USD 1 million per Tax Year (aggregate — all accounts)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What is includible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Balances from NRO accounts including sale proceeds, rental income, dividends, matured deposits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What is excludible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Current income (rent, interest, dividend received in current year — separately repatriable)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Documentation required</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Form 15CA + Form 15CB (CA certificate) + bank's own forms (A2)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Tax clearance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taxes must be paid/TDS deducted before repatriation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Exceeding limit</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Requires RBI permission under FEMA — alert user well in advance</w:t>
            </w:r>
          </w:p>
        </w:tc>
      </w:tr>
    </w:tbl>
    <w:p>
      <w:pPr>
        <w:shd w:fill="FFF3CD" w:val="clear"/>
        <w:spacing w:before="120" w:after="120"/>
        <w:ind w:left="360" w:right="360"/>
      </w:pPr>
      <w:r>
        <w:rPr>
          <w:rFonts w:ascii="Arial" w:cs="Arial" w:eastAsia="Arial" w:hAnsi="Arial"/>
          <w:b/>
          <w:bCs/>
          <w:color w:val="7A5C00"/>
          <w:sz w:val="20"/>
          <w:szCs w:val="20"/>
        </w:rPr>
        <w:t xml:space="preserve">⚠ Warning  </w:t>
      </w:r>
      <w:r>
        <w:rPr>
          <w:rFonts w:ascii="Arial" w:cs="Arial" w:eastAsia="Arial" w:hAnsi="Arial"/>
          <w:color w:val="7A5C00"/>
          <w:sz w:val="20"/>
          <w:szCs w:val="20"/>
        </w:rPr>
        <w:t xml:space="preserve">Wising must track cumulative NRO repatriation per Tax Year and alert the user when approaching the USD 1M limit. This requires INR-to-USD conversion at the date of each repatriation for accurate tracking.</w:t>
      </w:r>
    </w:p>
    <w:p>
      <w:pPr>
        <w:spacing w:after="120"/>
      </w:pPr>
      <w:r>
        <w:t xml:space="preserve"/>
      </w:r>
    </w:p>
    <w:p>
      <w:pPr>
        <w:pStyle w:val="Heading1"/>
        <w:spacing w:before="320" w:after="160"/>
      </w:pPr>
      <w:r>
        <w:rPr>
          <w:rFonts w:ascii="Arial" w:cs="Arial" w:eastAsia="Arial" w:hAnsi="Arial"/>
          <w:b/>
          <w:bCs/>
          <w:color w:val="2E4057"/>
          <w:sz w:val="32"/>
          <w:szCs w:val="32"/>
        </w:rPr>
        <w:t xml:space="preserve">Section 5: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1800"/>
        <w:gridCol w:w="2960"/>
      </w:tblGrid>
      <w:tr>
        <w:trPr>
          <w:tblHeader/>
        </w:trPr>
        <w:tc>
          <w:tcPr>
            <w:tcW w:type="dxa" w:w="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2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18"/>
                <w:szCs w:val="18"/>
              </w:rPr>
              <w:t xml:space="preserve">Blocking?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 account_type tag in user's linked bank account profile (NRE/NRO/FCNR/RFC)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Nihal + Devanshu</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2</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Build interest income computation routing by account_type and residential_status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Devanshu</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NRE conversion alert: trigger when residential_status changes to RNOR/ROR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Devanshu + Nihal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4</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FCNR maturity date tracking — alert user 60 days before maturity</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Devanshu</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No — Phase 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NRO repatriation tracker — cumulative USD tracking per 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Devanshu</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 Phase 2</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6</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CA sign-off on s.10(4) and s.10(15) exemption conditions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Sarthak</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YES</w:t>
            </w:r>
          </w:p>
        </w:tc>
      </w:tr>
    </w:tbl>
    <w:p>
      <w:pPr>
        <w:spacing w:after="120"/>
      </w:pPr>
      <w:r>
        <w:rPr>
          <w:rFonts w:ascii="Arial" w:cs="Arial" w:eastAsia="Arial" w:hAnsi="Arial"/>
          <w:i/>
          <w:iCs/>
          <w:color w:val="888888"/>
          <w:sz w:val="20"/>
          <w:szCs w:val="20"/>
        </w:rPr>
        <w:t xml:space="preserve">Version 2.0 | March 2026 | Module 3 of 8 — NRI Tax Engine Series</w:t>
      </w:r>
    </w:p>
    <w:p>
      <w:pPr>
        <w:pStyle w:val="Heading1"/>
      </w:pPr>
      <w:r>
        <w:rPr>
          <w:rFonts w:ascii="Arial" w:cs="Arial" w:hAnsi="Arial"/>
          <w:b/>
          <w:sz w:val="32"/>
          <w:color w:val="1E2D3D"/>
        </w:rPr>
        <w:t>Section 5: Test Cases</w:t>
      </w:r>
    </w:p>
    <w:p>
      <w:r>
        <w:rPr>
          <w:rFonts w:ascii="Arial" w:cs="Arial" w:hAnsi="Arial"/>
          <w:sz w:val="20"/>
        </w:rPr>
        <w:t xml:space="preserve">All test cases must pass before the NRI Bank Accounts module is deployed.</w:t>
      </w:r>
    </w:p>
    <w:p>
      <w:pPr>
        <w:shd w:val="clear" w:color="auto" w:fill="E8F4F8"/>
        <w:ind w:left="360" w:right="360"/>
      </w:pPr>
      <w:r>
        <w:rPr>
          <w:rFonts w:ascii="Arial" w:cs="Arial" w:hAnsi="Arial"/>
          <w:b/>
          <w:sz w:val="18"/>
          <w:color w:val="004D6B"/>
        </w:rPr>
        <w:t xml:space="preserve">ℹ   Note  </w:t>
      </w:r>
      <w:r>
        <w:rPr>
          <w:rFonts w:ascii="Arial" w:cs="Arial" w:hAnsi="Arial"/>
          <w:sz w:val="18"/>
          <w:color w:val="004D6B"/>
        </w:rPr>
        <w:t xml:space="preserve">All tests assume residential_status is set by the residency engine. Phase 2 tests are marked.</w:t>
      </w:r>
    </w:p>
    <w:p>
      <w:pPr>
        <w:spacing w:after="80"/>
      </w:pPr>
    </w:p>
    <w:p>
      <w:r>
        <w:rPr>
          <w:rFonts w:ascii="Arial" w:cs="Arial" w:hAnsi="Arial"/>
          <w:b/>
          <w:sz w:val="24"/>
          <w:color w:val="1E2D3D"/>
        </w:rPr>
        <w:t>5.1 Account Tax Matrix — compute_bank_interest_tax()</w:t>
      </w:r>
    </w:p>
    <w:tbl>
      <w:tblPr>
        <w:tblW w:type="dxa" w:w="9360"/>
        <w:tblBorders>
          <w:insideH w:val="single" w:color="CCCCCC" w:sz="1"/>
          <w:insideV w:val="single" w:color="CCCCCC" w:sz="1"/>
        </w:tblBorders>
      </w:tblPr>
      <w:tblGrid>
        <w:gridCol w:w="700"/>
        <w:gridCol w:w="1500"/>
        <w:gridCol w:w="2300"/>
        <w:gridCol w:w="2900"/>
        <w:gridCol w:w="1960"/>
      </w:tblGrid>
      <w:tr>
        <w:trPr>
          <w:tblHeader/>
        </w:trPr>
        <w:tc>
          <w:tcPr>
            <w:tcW w:type="dxa" w:w="7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Test ID</w:t>
            </w:r>
          </w:p>
        </w:tc>
        <w:tc>
          <w:tcPr>
            <w:tcW w:type="dxa" w:w="15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Scenario</w:t>
            </w:r>
          </w:p>
        </w:tc>
        <w:tc>
          <w:tcPr>
            <w:tcW w:type="dxa" w:w="23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Inputs</w:t>
            </w:r>
          </w:p>
        </w:tc>
        <w:tc>
          <w:tcPr>
            <w:tcW w:type="dxa" w:w="29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Expected output</w:t>
            </w:r>
          </w:p>
        </w:tc>
        <w:tc>
          <w:tcPr>
            <w:tcW w:type="dxa" w:w="196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Source</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BANK-01</w:t>
            </w:r>
          </w:p>
        </w:tc>
        <w:tc>
          <w:tcPr>
            <w:tcW w:type="dxa" w:w="15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NRE — NR — exempt</w:t>
            </w:r>
          </w:p>
        </w:tc>
        <w:tc>
          <w:tcPr>
            <w:tcW w:type="dxa" w:w="23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account=NRE, interest=50000, status=NR</w:t>
            </w:r>
          </w:p>
        </w:tc>
        <w:tc>
          <w:tcPr>
            <w:tcW w:type="dxa" w:w="29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taxable=0, tds=0, section=s.10(4)(ii)</w:t>
            </w:r>
          </w:p>
        </w:tc>
        <w:tc>
          <w:tcPr>
            <w:tcW w:type="dxa" w:w="1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1 + Section 2</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BANK-02</w:t>
            </w:r>
          </w:p>
        </w:tc>
        <w:tc>
          <w:tcPr>
            <w:tcW w:type="dxa" w:w="15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NRE — RNOR — exempt</w:t>
            </w:r>
          </w:p>
        </w:tc>
        <w:tc>
          <w:tcPr>
            <w:tcW w:type="dxa" w:w="23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account=NRE, interest=50000, status=RNOR</w:t>
            </w:r>
          </w:p>
        </w:tc>
        <w:tc>
          <w:tcPr>
            <w:tcW w:type="dxa" w:w="29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taxable=0, tds=0, section=s.10(4)(ii)</w:t>
            </w:r>
          </w:p>
        </w:tc>
        <w:tc>
          <w:tcPr>
            <w:tcW w:type="dxa" w:w="19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1 row 1</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BANK-03</w:t>
            </w:r>
          </w:p>
        </w:tc>
        <w:tc>
          <w:tcPr>
            <w:tcW w:type="dxa" w:w="15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NRE — ROR — taxable on post-conversion amount</w:t>
            </w:r>
          </w:p>
        </w:tc>
        <w:tc>
          <w:tcPr>
            <w:tcW w:type="dxa" w:w="23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account=NRE, status=ROR, post_conv_interest=30000 of 50000</w:t>
            </w:r>
          </w:p>
        </w:tc>
        <w:tc>
          <w:tcPr>
            <w:tcW w:type="dxa" w:w="29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taxable=30000, tds=3000 (10%). Pre-conversion not taxable.</w:t>
            </w:r>
          </w:p>
        </w:tc>
        <w:tc>
          <w:tcPr>
            <w:tcW w:type="dxa" w:w="1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2 NRE — ROR branch</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BANK-04</w:t>
            </w:r>
          </w:p>
        </w:tc>
        <w:tc>
          <w:tcPr>
            <w:tcW w:type="dxa" w:w="15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NRO — NR — 30% domestic TDS</w:t>
            </w:r>
          </w:p>
        </w:tc>
        <w:tc>
          <w:tcPr>
            <w:tcW w:type="dxa" w:w="23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account=NRO, interest=100000, status=NR, dtaa_eligible=False</w:t>
            </w:r>
          </w:p>
        </w:tc>
        <w:tc>
          <w:tcPr>
            <w:tcW w:type="dxa" w:w="29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taxable=100000, tds=30000. Gross — no deductions.</w:t>
            </w:r>
          </w:p>
        </w:tc>
        <w:tc>
          <w:tcPr>
            <w:tcW w:type="dxa" w:w="19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2 NRO — NR branch</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BANK-05</w:t>
            </w:r>
          </w:p>
        </w:tc>
        <w:tc>
          <w:tcPr>
            <w:tcW w:type="dxa" w:w="15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NRO — NR — DTAA reduces TDS to 10%</w:t>
            </w:r>
          </w:p>
        </w:tc>
        <w:tc>
          <w:tcPr>
            <w:tcW w:type="dxa" w:w="23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account=NRO, interest=100000, status=NR, dtaa_eligible=True, dtaa_rate=10%</w:t>
            </w:r>
          </w:p>
        </w:tc>
        <w:tc>
          <w:tcPr>
            <w:tcW w:type="dxa" w:w="29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tds=10000. Calls get_nri_tds_rate() from Module 2.</w:t>
            </w:r>
          </w:p>
        </w:tc>
        <w:tc>
          <w:tcPr>
            <w:tcW w:type="dxa" w:w="1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2 NRO — Module 2 call</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BANK-06</w:t>
            </w:r>
          </w:p>
        </w:tc>
        <w:tc>
          <w:tcPr>
            <w:tcW w:type="dxa" w:w="15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NRO — RNOR — resident 10%</w:t>
            </w:r>
          </w:p>
        </w:tc>
        <w:tc>
          <w:tcPr>
            <w:tcW w:type="dxa" w:w="23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account=NRO, interest=100000, status=RNOR</w:t>
            </w:r>
          </w:p>
        </w:tc>
        <w:tc>
          <w:tcPr>
            <w:tcW w:type="dxa" w:w="29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taxable=100000, tds=10000</w:t>
            </w:r>
          </w:p>
        </w:tc>
        <w:tc>
          <w:tcPr>
            <w:tcW w:type="dxa" w:w="19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2 NRO — RNOR/ROR branch</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BANK-07</w:t>
            </w:r>
          </w:p>
        </w:tc>
        <w:tc>
          <w:tcPr>
            <w:tcW w:type="dxa" w:w="15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NRO — ROR — resident 10%</w:t>
            </w:r>
          </w:p>
        </w:tc>
        <w:tc>
          <w:tcPr>
            <w:tcW w:type="dxa" w:w="23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account=NRO, interest=100000, status=ROR</w:t>
            </w:r>
          </w:p>
        </w:tc>
        <w:tc>
          <w:tcPr>
            <w:tcW w:type="dxa" w:w="29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taxable=100000, tds=10000</w:t>
            </w:r>
          </w:p>
        </w:tc>
        <w:tc>
          <w:tcPr>
            <w:tcW w:type="dxa" w:w="1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2 NRO — RNOR/ROR branch</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BANK-08</w:t>
            </w:r>
          </w:p>
        </w:tc>
        <w:tc>
          <w:tcPr>
            <w:tcW w:type="dxa" w:w="15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NRO FD — NR — 30% TDS</w:t>
            </w:r>
          </w:p>
        </w:tc>
        <w:tc>
          <w:tcPr>
            <w:tcW w:type="dxa" w:w="23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account=NRO_FD, interest=200000, status=NR, dtaa=False</w:t>
            </w:r>
          </w:p>
        </w:tc>
        <w:tc>
          <w:tcPr>
            <w:tcW w:type="dxa" w:w="29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taxable=200000, tds=60000</w:t>
            </w:r>
          </w:p>
        </w:tc>
        <w:tc>
          <w:tcPr>
            <w:tcW w:type="dxa" w:w="19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1 row 3</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BANK-09</w:t>
            </w:r>
          </w:p>
        </w:tc>
        <w:tc>
          <w:tcPr>
            <w:tcW w:type="dxa" w:w="15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FCNR(B) — NR — exempt</w:t>
            </w:r>
          </w:p>
        </w:tc>
        <w:tc>
          <w:tcPr>
            <w:tcW w:type="dxa" w:w="23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account=FCNR, interest=80000, status=NR</w:t>
            </w:r>
          </w:p>
        </w:tc>
        <w:tc>
          <w:tcPr>
            <w:tcW w:type="dxa" w:w="29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taxable=0, tds=0, section=s.10(15)(iv)(fa)</w:t>
            </w:r>
          </w:p>
        </w:tc>
        <w:tc>
          <w:tcPr>
            <w:tcW w:type="dxa" w:w="1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1 row 4</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BANK-10</w:t>
            </w:r>
          </w:p>
        </w:tc>
        <w:tc>
          <w:tcPr>
            <w:tcW w:type="dxa" w:w="15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FCNR(B) — RNOR — exempt</w:t>
            </w:r>
          </w:p>
        </w:tc>
        <w:tc>
          <w:tcPr>
            <w:tcW w:type="dxa" w:w="23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account=FCNR, interest=80000, status=RNOR</w:t>
            </w:r>
          </w:p>
        </w:tc>
        <w:tc>
          <w:tcPr>
            <w:tcW w:type="dxa" w:w="29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taxable=0, tds=0, section=s.10(15)(iv)(fa)</w:t>
            </w:r>
          </w:p>
        </w:tc>
        <w:tc>
          <w:tcPr>
            <w:tcW w:type="dxa" w:w="19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1 row 4</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BANK-11</w:t>
            </w:r>
          </w:p>
        </w:tc>
        <w:tc>
          <w:tcPr>
            <w:tcW w:type="dxa" w:w="15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FCNR(B) — ROR — taxable 10%</w:t>
            </w:r>
          </w:p>
        </w:tc>
        <w:tc>
          <w:tcPr>
            <w:tcW w:type="dxa" w:w="23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account=FCNR, interest=80000, status=ROR</w:t>
            </w:r>
          </w:p>
        </w:tc>
        <w:tc>
          <w:tcPr>
            <w:tcW w:type="dxa" w:w="29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taxable=80000, tds=8000</w:t>
            </w:r>
          </w:p>
        </w:tc>
        <w:tc>
          <w:tcPr>
            <w:tcW w:type="dxa" w:w="1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2 FCNR — ROR branch</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BANK-12</w:t>
            </w:r>
          </w:p>
        </w:tc>
        <w:tc>
          <w:tcPr>
            <w:tcW w:type="dxa" w:w="15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RFC — RNOR — exempt</w:t>
            </w:r>
          </w:p>
        </w:tc>
        <w:tc>
          <w:tcPr>
            <w:tcW w:type="dxa" w:w="23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account=RFC, interest=60000, status=RNOR</w:t>
            </w:r>
          </w:p>
        </w:tc>
        <w:tc>
          <w:tcPr>
            <w:tcW w:type="dxa" w:w="29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taxable=0, tds=0, section=s.10(15)(iv)(fa)</w:t>
            </w:r>
          </w:p>
        </w:tc>
        <w:tc>
          <w:tcPr>
            <w:tcW w:type="dxa" w:w="19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2 RFC — RNOR branch</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BANK-13</w:t>
            </w:r>
          </w:p>
        </w:tc>
        <w:tc>
          <w:tcPr>
            <w:tcW w:type="dxa" w:w="15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RFC — ROR — taxable 10%</w:t>
            </w:r>
          </w:p>
        </w:tc>
        <w:tc>
          <w:tcPr>
            <w:tcW w:type="dxa" w:w="23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account=RFC, interest=60000, status=ROR</w:t>
            </w:r>
          </w:p>
        </w:tc>
        <w:tc>
          <w:tcPr>
            <w:tcW w:type="dxa" w:w="29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taxable=60000, tds=6000</w:t>
            </w:r>
          </w:p>
        </w:tc>
        <w:tc>
          <w:tcPr>
            <w:tcW w:type="dxa" w:w="1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2 RFC — ROR branch</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BANK-14</w:t>
            </w:r>
          </w:p>
        </w:tc>
        <w:tc>
          <w:tcPr>
            <w:tcW w:type="dxa" w:w="15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RFC — NR — not available</w:t>
            </w:r>
          </w:p>
        </w:tc>
        <w:tc>
          <w:tcPr>
            <w:tcW w:type="dxa" w:w="23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account=RFC, status=NR</w:t>
            </w:r>
          </w:p>
        </w:tc>
        <w:tc>
          <w:tcPr>
            <w:tcW w:type="dxa" w:w="29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Error: RFC_NOT_AVAILABLE_FOR_NR</w:t>
            </w:r>
          </w:p>
        </w:tc>
        <w:tc>
          <w:tcPr>
            <w:tcW w:type="dxa" w:w="19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1 row 5</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BANK-15</w:t>
            </w:r>
          </w:p>
        </w:tc>
        <w:tc>
          <w:tcPr>
            <w:tcW w:type="dxa" w:w="15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GIFT City IFSC — exempt</w:t>
            </w:r>
          </w:p>
        </w:tc>
        <w:tc>
          <w:tcPr>
            <w:tcW w:type="dxa" w:w="23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account=GIFT_IFSC, interest=50000, status=NR</w:t>
            </w:r>
          </w:p>
        </w:tc>
        <w:tc>
          <w:tcPr>
            <w:tcW w:type="dxa" w:w="29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taxable=0, tds=0. Flag GIFT_IFSC_RULES_APPLY.</w:t>
            </w:r>
          </w:p>
        </w:tc>
        <w:tc>
          <w:tcPr>
            <w:tcW w:type="dxa" w:w="1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1 row 6</w:t>
            </w:r>
          </w:p>
        </w:tc>
      </w:tr>
    </w:tbl>
    <w:p>
      <w:pPr>
        <w:spacing w:after="80"/>
      </w:pPr>
    </w:p>
    <w:p>
      <w:r>
        <w:rPr>
          <w:rFonts w:ascii="Arial" w:cs="Arial" w:hAnsi="Arial"/>
          <w:b/>
          <w:sz w:val="24"/>
          <w:color w:val="1E2D3D"/>
        </w:rPr>
        <w:t>5.2 Account Conversion Alerts — Status Change</w:t>
      </w:r>
    </w:p>
    <w:tbl>
      <w:tblPr>
        <w:tblW w:type="dxa" w:w="9360"/>
        <w:tblBorders>
          <w:insideH w:val="single" w:color="CCCCCC" w:sz="1"/>
          <w:insideV w:val="single" w:color="CCCCCC" w:sz="1"/>
        </w:tblBorders>
      </w:tblPr>
      <w:tblGrid>
        <w:gridCol w:w="700"/>
        <w:gridCol w:w="1500"/>
        <w:gridCol w:w="2300"/>
        <w:gridCol w:w="2900"/>
        <w:gridCol w:w="1960"/>
      </w:tblGrid>
      <w:tr>
        <w:trPr>
          <w:tblHeader/>
        </w:trPr>
        <w:tc>
          <w:tcPr>
            <w:tcW w:type="dxa" w:w="7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Test ID</w:t>
            </w:r>
          </w:p>
        </w:tc>
        <w:tc>
          <w:tcPr>
            <w:tcW w:type="dxa" w:w="15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Scenario</w:t>
            </w:r>
          </w:p>
        </w:tc>
        <w:tc>
          <w:tcPr>
            <w:tcW w:type="dxa" w:w="23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Inputs</w:t>
            </w:r>
          </w:p>
        </w:tc>
        <w:tc>
          <w:tcPr>
            <w:tcW w:type="dxa" w:w="29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Expected output</w:t>
            </w:r>
          </w:p>
        </w:tc>
        <w:tc>
          <w:tcPr>
            <w:tcW w:type="dxa" w:w="196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Source</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CONV-01</w:t>
            </w:r>
          </w:p>
        </w:tc>
        <w:tc>
          <w:tcPr>
            <w:tcW w:type="dxa" w:w="15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NR to RNOR — NRE conversion alert</w:t>
            </w:r>
          </w:p>
        </w:tc>
        <w:tc>
          <w:tcPr>
            <w:tcW w:type="dxa" w:w="23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prev=NR, new=RNOR, accounts=[NRE]</w:t>
            </w:r>
          </w:p>
        </w:tc>
        <w:tc>
          <w:tcPr>
            <w:tcW w:type="dxa" w:w="29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Alert: Convert NRE to RFC. Track conversion_date.</w:t>
            </w:r>
          </w:p>
        </w:tc>
        <w:tc>
          <w:tcPr>
            <w:tcW w:type="dxa" w:w="1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3 row 1</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CONV-02</w:t>
            </w:r>
          </w:p>
        </w:tc>
        <w:tc>
          <w:tcPr>
            <w:tcW w:type="dxa" w:w="15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NR to RNOR — FCNR still exempt until maturity</w:t>
            </w:r>
          </w:p>
        </w:tc>
        <w:tc>
          <w:tcPr>
            <w:tcW w:type="dxa" w:w="23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prev=NR, new=RNOR, accounts=[FCNR], maturity=future</w:t>
            </w:r>
          </w:p>
        </w:tc>
        <w:tc>
          <w:tcPr>
            <w:tcW w:type="dxa" w:w="29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FCNR exempt until maturity. Alert: plan repatriation.</w:t>
            </w:r>
          </w:p>
        </w:tc>
        <w:tc>
          <w:tcPr>
            <w:tcW w:type="dxa" w:w="19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3 row 1</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CONV-03</w:t>
            </w:r>
          </w:p>
        </w:tc>
        <w:tc>
          <w:tcPr>
            <w:tcW w:type="dxa" w:w="15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RNOR to ROR — RFC becomes taxable</w:t>
            </w:r>
          </w:p>
        </w:tc>
        <w:tc>
          <w:tcPr>
            <w:tcW w:type="dxa" w:w="23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prev=RNOR, new=ROR, accounts=[RFC]</w:t>
            </w:r>
          </w:p>
        </w:tc>
        <w:tc>
          <w:tcPr>
            <w:tcW w:type="dxa" w:w="29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Alert: RFC taxable from start of Tax Year. TDS=10%.</w:t>
            </w:r>
          </w:p>
        </w:tc>
        <w:tc>
          <w:tcPr>
            <w:tcW w:type="dxa" w:w="1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3 row 2</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CONV-04</w:t>
            </w:r>
          </w:p>
        </w:tc>
        <w:tc>
          <w:tcPr>
            <w:tcW w:type="dxa" w:w="15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NR to ROR — immediate NRE conversion</w:t>
            </w:r>
          </w:p>
        </w:tc>
        <w:tc>
          <w:tcPr>
            <w:tcW w:type="dxa" w:w="23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prev=NR, new=ROR, accounts=[NRE]</w:t>
            </w:r>
          </w:p>
        </w:tc>
        <w:tc>
          <w:tcPr>
            <w:tcW w:type="dxa" w:w="29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Immediate conversion alert. NRE interest after conversion taxable.</w:t>
            </w:r>
          </w:p>
        </w:tc>
        <w:tc>
          <w:tcPr>
            <w:tcW w:type="dxa" w:w="19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3 row 3</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CONV-05</w:t>
            </w:r>
          </w:p>
        </w:tc>
        <w:tc>
          <w:tcPr>
            <w:tcW w:type="dxa" w:w="15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FCNR matures during RNOR — kept in India</w:t>
            </w:r>
          </w:p>
        </w:tc>
        <w:tc>
          <w:tcPr>
            <w:tcW w:type="dxa" w:w="23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status=RNOR, matured=True, kept_in_india=True</w:t>
            </w:r>
          </w:p>
        </w:tc>
        <w:tc>
          <w:tcPr>
            <w:tcW w:type="dxa" w:w="29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Post-maturity: NRO treatment. 30% TDS. Alert to repatriate.</w:t>
            </w:r>
          </w:p>
        </w:tc>
        <w:tc>
          <w:tcPr>
            <w:tcW w:type="dxa" w:w="1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Section 3 row 4</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CONV-06</w:t>
            </w:r>
          </w:p>
        </w:tc>
        <w:tc>
          <w:tcPr>
            <w:tcW w:type="dxa" w:w="15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ROR — full year NRE taxable (critical)</w:t>
            </w:r>
          </w:p>
        </w:tc>
        <w:tc>
          <w:tcPr>
            <w:tcW w:type="dxa" w:w="23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status=ROR, account=NRE, days_into_ty=1</w:t>
            </w:r>
          </w:p>
        </w:tc>
        <w:tc>
          <w:tcPr>
            <w:tcW w:type="dxa" w:w="29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CRITICAL flag NRE_FULL_YEAR_TAXABLE. 1 day as ROR = full year taxable.</w:t>
            </w:r>
          </w:p>
        </w:tc>
        <w:tc>
          <w:tcPr>
            <w:tcW w:type="dxa" w:w="19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Section 3 Critical box</w:t>
            </w:r>
          </w:p>
        </w:tc>
      </w:tr>
    </w:tbl>
    <w:p>
      <w:pPr>
        <w:spacing w:after="80"/>
      </w:pPr>
    </w:p>
    <w:p>
      <w:r>
        <w:rPr>
          <w:rFonts w:ascii="Arial" w:cs="Arial" w:hAnsi="Arial"/>
          <w:b/>
          <w:sz w:val="24"/>
          <w:color w:val="1E2D3D"/>
        </w:rPr>
        <w:t>5.3 NRO Repatriation — REPA-01 and REPA-02 MVP. REPA-03 to REPA-05 Phase 2.</w:t>
      </w:r>
    </w:p>
    <w:tbl>
      <w:tblPr>
        <w:tblW w:type="dxa" w:w="9360"/>
        <w:tblBorders>
          <w:insideH w:val="single" w:color="CCCCCC" w:sz="1"/>
          <w:insideV w:val="single" w:color="CCCCCC" w:sz="1"/>
        </w:tblBorders>
      </w:tblPr>
      <w:tblGrid>
        <w:gridCol w:w="700"/>
        <w:gridCol w:w="1500"/>
        <w:gridCol w:w="2300"/>
        <w:gridCol w:w="2900"/>
        <w:gridCol w:w="960"/>
      </w:tblGrid>
      <w:tr>
        <w:trPr>
          <w:tblHeader/>
        </w:trPr>
        <w:tc>
          <w:tcPr>
            <w:tcW w:type="dxa" w:w="7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Test ID</w:t>
            </w:r>
          </w:p>
        </w:tc>
        <w:tc>
          <w:tcPr>
            <w:tcW w:type="dxa" w:w="15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Scenario</w:t>
            </w:r>
          </w:p>
        </w:tc>
        <w:tc>
          <w:tcPr>
            <w:tcW w:type="dxa" w:w="23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Inputs</w:t>
            </w:r>
          </w:p>
        </w:tc>
        <w:tc>
          <w:tcPr>
            <w:tcW w:type="dxa" w:w="290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Expected output</w:t>
            </w:r>
          </w:p>
        </w:tc>
        <w:tc>
          <w:tcPr>
            <w:tcW w:type="dxa" w:w="960"/>
            <w:tcBorders>
              <w:top w:val="single" w:color="CCCCCC" w:sz="1"/>
              <w:left w:val="single" w:color="CCCCCC" w:sz="1"/>
              <w:bottom w:val="single" w:color="CCCCCC" w:sz="1"/>
              <w:right w:val="single" w:color="CCCCCC" w:sz="1"/>
            </w:tcBorders>
            <w:shd w:val="clear" w:color="auto" w:fill="1E2D3D"/>
            <w:tcMar>
              <w:top w:type="dxa" w:w="80"/>
              <w:left w:type="dxa" w:w="120"/>
              <w:bottom w:type="dxa" w:w="80"/>
              <w:right w:type="dxa" w:w="120"/>
            </w:tcMar>
          </w:tcPr>
          <w:p>
            <w:r>
              <w:rPr>
                <w:rFonts w:ascii="Arial" w:cs="Arial" w:hAnsi="Arial"/>
                <w:b/>
                <w:bCs/>
                <w:sz w:val="17"/>
                <w:color w:val="FFFFFF"/>
              </w:rPr>
              <w:t xml:space="preserve">Phase</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REPA-01</w:t>
            </w:r>
          </w:p>
        </w:tc>
        <w:tc>
          <w:tcPr>
            <w:tcW w:type="dxa" w:w="15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Repatriation requires Form 15CA + 15CB</w:t>
            </w:r>
          </w:p>
        </w:tc>
        <w:tc>
          <w:tcPr>
            <w:tcW w:type="dxa" w:w="23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nro_repatriation=500000, status=NR</w:t>
            </w:r>
          </w:p>
        </w:tc>
        <w:tc>
          <w:tcPr>
            <w:tcW w:type="dxa" w:w="29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form_15ca=True, form_15cb=True. Route to Module 2.</w:t>
            </w:r>
          </w:p>
        </w:tc>
        <w:tc>
          <w:tcPr>
            <w:tcW w:type="dxa" w:w="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MVP</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REPA-02</w:t>
            </w:r>
          </w:p>
        </w:tc>
        <w:tc>
          <w:tcPr>
            <w:tcW w:type="dxa" w:w="15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Tax clearance gate — TDS not paid</w:t>
            </w:r>
          </w:p>
        </w:tc>
        <w:tc>
          <w:tcPr>
            <w:tcW w:type="dxa" w:w="23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tds_deducted=False, repatriation=True</w:t>
            </w:r>
          </w:p>
        </w:tc>
        <w:tc>
          <w:tcPr>
            <w:tcW w:type="dxa" w:w="29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Fire TAX_CLEARANCE_REQUIRED. Block repatriation.</w:t>
            </w:r>
          </w:p>
        </w:tc>
        <w:tc>
          <w:tcPr>
            <w:tcW w:type="dxa" w:w="9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MVP</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REPA-03</w:t>
            </w:r>
          </w:p>
        </w:tc>
        <w:tc>
          <w:tcPr>
            <w:tcW w:type="dxa" w:w="15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Below USD 1M — no alert</w:t>
            </w:r>
          </w:p>
        </w:tc>
        <w:tc>
          <w:tcPr>
            <w:tcW w:type="dxa" w:w="23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cumulative_usd=800000, new_inr=1000000, rate=83</w:t>
            </w:r>
          </w:p>
        </w:tc>
        <w:tc>
          <w:tcPr>
            <w:tcW w:type="dxa" w:w="29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total=812048 &lt; 1M. No alert.</w:t>
            </w:r>
          </w:p>
        </w:tc>
        <w:tc>
          <w:tcPr>
            <w:tcW w:type="dxa" w:w="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Phase 2</w:t>
            </w:r>
          </w:p>
        </w:tc>
      </w:tr>
      <w:tr>
        <w:tc>
          <w:tcPr>
            <w:tcW w:type="dxa" w:w="7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REPA-04</w:t>
            </w:r>
          </w:p>
        </w:tc>
        <w:tc>
          <w:tcPr>
            <w:tcW w:type="dxa" w:w="15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Crossing USD 1M — alert fires</w:t>
            </w:r>
          </w:p>
        </w:tc>
        <w:tc>
          <w:tcPr>
            <w:tcW w:type="dxa" w:w="23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cumulative_usd=950000, new_inr=5000000, rate=83</w:t>
            </w:r>
          </w:p>
        </w:tc>
        <w:tc>
          <w:tcPr>
            <w:tcW w:type="dxa" w:w="290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total=1010241 &gt; 1M. REPATRIATION_LIMIT_EXCEEDED. Alert: RBI permission required.</w:t>
            </w:r>
          </w:p>
        </w:tc>
        <w:tc>
          <w:tcPr>
            <w:tcW w:type="dxa" w:w="960"/>
            <w:tcBorders>
              <w:top w:val="single" w:color="CCCCCC" w:sz="1"/>
              <w:left w:val="single" w:color="CCCCCC" w:sz="1"/>
              <w:bottom w:val="single" w:color="CCCCCC" w:sz="1"/>
              <w:right w:val="single" w:color="CCCCCC" w:sz="1"/>
            </w:tcBorders>
            <w:shd w:val="clear" w:color="auto" w:fill="F5F7FA"/>
            <w:tcMar>
              <w:top w:type="dxa" w:w="80"/>
              <w:left w:type="dxa" w:w="120"/>
              <w:bottom w:type="dxa" w:w="80"/>
              <w:right w:type="dxa" w:w="120"/>
            </w:tcMar>
          </w:tcPr>
          <w:p>
            <w:r>
              <w:rPr>
                <w:rFonts w:ascii="Arial" w:cs="Arial" w:hAnsi="Arial"/>
                <w:sz w:val="17"/>
                <w:color w:val="000000"/>
              </w:rPr>
              <w:t xml:space="preserve">Phase 2</w:t>
            </w:r>
          </w:p>
        </w:tc>
      </w:tr>
      <w:tr>
        <w:tc>
          <w:tcPr>
            <w:tcW w:type="dxa" w:w="7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REPA-05</w:t>
            </w:r>
          </w:p>
        </w:tc>
        <w:tc>
          <w:tcPr>
            <w:tcW w:type="dxa" w:w="15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INR to USD at RBI rate on remittance date</w:t>
            </w:r>
          </w:p>
        </w:tc>
        <w:tc>
          <w:tcPr>
            <w:tcW w:type="dxa" w:w="23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inr=8300000, rbi_rate=83.00</w:t>
            </w:r>
          </w:p>
        </w:tc>
        <w:tc>
          <w:tcPr>
            <w:tcW w:type="dxa" w:w="290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usd=100000. Use RBI rate on date of remittance.</w:t>
            </w:r>
          </w:p>
        </w:tc>
        <w:tc>
          <w:tcPr>
            <w:tcW w:type="dxa" w:w="960"/>
            <w:tcBorders>
              <w:top w:val="single" w:color="CCCCCC" w:sz="1"/>
              <w:left w:val="single" w:color="CCCCCC" w:sz="1"/>
              <w:bottom w:val="single" w:color="CCCCCC" w:sz="1"/>
              <w:right w:val="single" w:color="CCCCCC" w:sz="1"/>
            </w:tcBorders>
            <w:shd w:val="clear" w:color="auto" w:fill="FFFFFF"/>
            <w:tcMar>
              <w:top w:type="dxa" w:w="80"/>
              <w:left w:type="dxa" w:w="120"/>
              <w:bottom w:type="dxa" w:w="80"/>
              <w:right w:type="dxa" w:w="120"/>
            </w:tcMar>
          </w:tcPr>
          <w:p>
            <w:r>
              <w:rPr>
                <w:rFonts w:ascii="Arial" w:cs="Arial" w:hAnsi="Arial"/>
                <w:sz w:val="17"/>
                <w:color w:val="000000"/>
              </w:rPr>
              <w:t xml:space="preserve">Phase 2</w:t>
            </w:r>
          </w:p>
        </w:tc>
      </w:tr>
    </w:tbl>
    <w:p>
      <w:pPr>
        <w:spacing w:after="80"/>
      </w:pPr>
    </w:p>
    <w:p>
      <w:r>
        <w:rPr>
          <w:rFonts w:ascii="Arial" w:cs="Arial" w:hAnsi="Arial"/>
          <w:sz w:val="20"/>
        </w:rPr>
        <w:t xml:space="preserve">Version 2.0 | March 2026 | Test cases added. All other content unchanged from v1.0. Module 3 of 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2026-03-16T08:33:18.227Z</dcterms:created>
  <dcterms:modified xsi:type="dcterms:W3CDTF">2026-03-16T08:33:18.228Z</dcterms:modified>
</cp:coreProperties>
</file>

<file path=docProps/custom.xml><?xml version="1.0" encoding="utf-8"?>
<Properties xmlns="http://schemas.openxmlformats.org/officeDocument/2006/custom-properties" xmlns:vt="http://schemas.openxmlformats.org/officeDocument/2006/docPropsVTypes"/>
</file>